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06AE" w14:textId="77777777" w:rsidR="00FE6A73" w:rsidRDefault="001B720A" w:rsidP="007E6017">
      <w:pPr>
        <w:spacing w:after="0"/>
        <w:jc w:val="center"/>
        <w:rPr>
          <w:b/>
          <w:bCs/>
        </w:rPr>
      </w:pPr>
      <w:r>
        <w:rPr>
          <w:b/>
          <w:bCs/>
        </w:rPr>
        <w:t>Щ</w:t>
      </w:r>
      <w:r w:rsidR="008353FF" w:rsidRPr="00EB4162">
        <w:rPr>
          <w:b/>
          <w:bCs/>
        </w:rPr>
        <w:t xml:space="preserve">одо </w:t>
      </w:r>
      <w:r w:rsidR="00FC14FB">
        <w:rPr>
          <w:b/>
          <w:bCs/>
        </w:rPr>
        <w:t xml:space="preserve">підходів </w:t>
      </w:r>
    </w:p>
    <w:p w14:paraId="673E3A8C" w14:textId="085A8D07" w:rsidR="008353FF" w:rsidRPr="00EB4162" w:rsidRDefault="00FC14FB" w:rsidP="007E601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до </w:t>
      </w:r>
      <w:r w:rsidR="008353FF" w:rsidRPr="00EB4162">
        <w:rPr>
          <w:b/>
          <w:bCs/>
        </w:rPr>
        <w:t xml:space="preserve">затвердження інформаційних </w:t>
      </w:r>
      <w:r w:rsidR="006D6393">
        <w:rPr>
          <w:b/>
          <w:bCs/>
        </w:rPr>
        <w:t>і</w:t>
      </w:r>
      <w:r w:rsidR="006D6393" w:rsidRPr="00EB4162">
        <w:rPr>
          <w:b/>
          <w:bCs/>
        </w:rPr>
        <w:t xml:space="preserve"> </w:t>
      </w:r>
      <w:r w:rsidR="008353FF" w:rsidRPr="00EB4162">
        <w:rPr>
          <w:b/>
          <w:bCs/>
        </w:rPr>
        <w:t>технологічних карток</w:t>
      </w:r>
    </w:p>
    <w:p w14:paraId="5958F2FC" w14:textId="6EABB4BB" w:rsidR="008353FF" w:rsidRDefault="008353FF" w:rsidP="00FC14FB">
      <w:pPr>
        <w:spacing w:after="0"/>
        <w:ind w:firstLine="567"/>
        <w:jc w:val="both"/>
      </w:pPr>
    </w:p>
    <w:p w14:paraId="446E9D7D" w14:textId="7BF849F6" w:rsidR="00BD3960" w:rsidRPr="00A2107F" w:rsidRDefault="00BD3960" w:rsidP="00FC14FB">
      <w:pPr>
        <w:spacing w:after="0"/>
        <w:ind w:firstLine="567"/>
        <w:jc w:val="both"/>
      </w:pPr>
      <w:r>
        <w:t xml:space="preserve">Зважаючи на практичні питання, які виникають у представників органів місцевого самоврядування (далі – ОМС), </w:t>
      </w:r>
      <w:r w:rsidR="00DD63D9">
        <w:t xml:space="preserve">а також </w:t>
      </w:r>
      <w:r>
        <w:t>дискусії</w:t>
      </w:r>
      <w:r w:rsidR="002266CC">
        <w:t xml:space="preserve"> </w:t>
      </w:r>
      <w:r>
        <w:t>щодо практики реалізації окремих заходів з інституційного створення</w:t>
      </w:r>
      <w:r w:rsidR="00F0791E">
        <w:t>/модернізації</w:t>
      </w:r>
      <w:r>
        <w:t xml:space="preserve"> центрів надання адміністративних послуг (далі – ЦНАП), експерти Програми додатково до вже </w:t>
      </w:r>
      <w:hyperlink r:id="rId7" w:history="1">
        <w:r w:rsidRPr="007B5A44">
          <w:rPr>
            <w:rStyle w:val="a7"/>
          </w:rPr>
          <w:t>оприлюднених рекомендаці</w:t>
        </w:r>
        <w:r w:rsidR="002266CC" w:rsidRPr="007B5A44">
          <w:rPr>
            <w:rStyle w:val="a7"/>
          </w:rPr>
          <w:t>й</w:t>
        </w:r>
      </w:hyperlink>
      <w:r>
        <w:t xml:space="preserve">, </w:t>
      </w:r>
      <w:r w:rsidR="002E70FB">
        <w:t xml:space="preserve">пропонують звернути увагу на окремі </w:t>
      </w:r>
      <w:r w:rsidR="007B5A44" w:rsidRPr="00197725">
        <w:t>аспекти</w:t>
      </w:r>
      <w:r w:rsidR="002E70FB">
        <w:t xml:space="preserve"> </w:t>
      </w:r>
      <w:r w:rsidR="00A2107F">
        <w:t xml:space="preserve">затвердження, а також </w:t>
      </w:r>
      <w:r>
        <w:t xml:space="preserve">погодження ОМС інформаційних та технологічних карток </w:t>
      </w:r>
      <w:r w:rsidR="002266CC">
        <w:t>послуг</w:t>
      </w:r>
      <w:r>
        <w:t>, суб’єктами надання яких є орган</w:t>
      </w:r>
      <w:r w:rsidR="002E70FB">
        <w:t>и</w:t>
      </w:r>
      <w:r>
        <w:t xml:space="preserve"> виконавчої влади</w:t>
      </w:r>
      <w:r w:rsidR="006D6393">
        <w:t xml:space="preserve"> чи їхні підрозділи</w:t>
      </w:r>
      <w:r>
        <w:t xml:space="preserve"> </w:t>
      </w:r>
      <w:r w:rsidR="002266CC">
        <w:t>(далі</w:t>
      </w:r>
      <w:r w:rsidR="002E70FB">
        <w:t xml:space="preserve"> </w:t>
      </w:r>
      <w:r w:rsidR="002266CC">
        <w:t>– ОВВ</w:t>
      </w:r>
      <w:r w:rsidR="002266CC" w:rsidRPr="00A2107F">
        <w:t>)</w:t>
      </w:r>
      <w:r w:rsidRPr="00A2107F">
        <w:t xml:space="preserve">. </w:t>
      </w:r>
    </w:p>
    <w:p w14:paraId="629CAC7C" w14:textId="77777777" w:rsidR="00BD3960" w:rsidRPr="00963353" w:rsidRDefault="00BD3960" w:rsidP="00FC14FB">
      <w:pPr>
        <w:spacing w:after="0"/>
        <w:ind w:firstLine="567"/>
        <w:jc w:val="both"/>
        <w:rPr>
          <w:sz w:val="16"/>
          <w:szCs w:val="16"/>
        </w:rPr>
      </w:pPr>
    </w:p>
    <w:p w14:paraId="722F5A92" w14:textId="051B067F" w:rsidR="00A97F06" w:rsidRPr="00EB4162" w:rsidRDefault="004C251C" w:rsidP="00FC14FB">
      <w:pPr>
        <w:spacing w:after="0"/>
        <w:ind w:firstLine="567"/>
        <w:jc w:val="both"/>
        <w:rPr>
          <w:b/>
        </w:rPr>
      </w:pPr>
      <w:bookmarkStart w:id="0" w:name="n69"/>
      <w:bookmarkStart w:id="1" w:name="n70"/>
      <w:bookmarkStart w:id="2" w:name="n71"/>
      <w:bookmarkStart w:id="3" w:name="n72"/>
      <w:bookmarkStart w:id="4" w:name="n73"/>
      <w:bookmarkStart w:id="5" w:name="n74"/>
      <w:bookmarkEnd w:id="0"/>
      <w:bookmarkEnd w:id="1"/>
      <w:bookmarkEnd w:id="2"/>
      <w:bookmarkEnd w:id="3"/>
      <w:bookmarkEnd w:id="4"/>
      <w:bookmarkEnd w:id="5"/>
      <w:r w:rsidRPr="00224486">
        <w:rPr>
          <w:b/>
          <w:bCs/>
          <w:lang w:val="ru-RU"/>
        </w:rPr>
        <w:t>1</w:t>
      </w:r>
      <w:r w:rsidR="008B7C2B">
        <w:rPr>
          <w:b/>
        </w:rPr>
        <w:t xml:space="preserve">. </w:t>
      </w:r>
      <w:r w:rsidR="00A97F06" w:rsidRPr="00EB4162">
        <w:rPr>
          <w:b/>
        </w:rPr>
        <w:t>Особливості затвердження інформаційних і технологічних карток адміністративних послуг</w:t>
      </w:r>
    </w:p>
    <w:p w14:paraId="1DB27BCB" w14:textId="45ED01C7" w:rsidR="00A97F06" w:rsidRPr="00EB4162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B4162">
        <w:rPr>
          <w:rStyle w:val="rvts9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 xml:space="preserve">Відповідно до Закону </w:t>
      </w:r>
      <w:r w:rsidRPr="00EB4162">
        <w:rPr>
          <w:rFonts w:asciiTheme="minorHAnsi" w:hAnsiTheme="minorHAnsi"/>
          <w:color w:val="000000"/>
          <w:sz w:val="22"/>
          <w:szCs w:val="22"/>
        </w:rPr>
        <w:t>суб’єктом надання адміністративних послуг на кожну адміністративну послугу затверджуються інформаційна і технологічна картки</w:t>
      </w:r>
      <w:r w:rsidR="002E70FB">
        <w:rPr>
          <w:rFonts w:asciiTheme="minorHAnsi" w:hAnsiTheme="minorHAnsi"/>
          <w:color w:val="000000"/>
          <w:sz w:val="22"/>
          <w:szCs w:val="22"/>
        </w:rPr>
        <w:t xml:space="preserve"> (далі </w:t>
      </w:r>
      <w:r w:rsidR="00F0791E">
        <w:rPr>
          <w:rFonts w:asciiTheme="minorHAnsi" w:hAnsiTheme="minorHAnsi"/>
          <w:color w:val="000000"/>
          <w:sz w:val="22"/>
          <w:szCs w:val="22"/>
        </w:rPr>
        <w:t>–</w:t>
      </w:r>
      <w:r w:rsidR="002E70FB">
        <w:rPr>
          <w:rFonts w:asciiTheme="minorHAnsi" w:hAnsiTheme="minorHAnsi"/>
          <w:color w:val="000000"/>
          <w:sz w:val="22"/>
          <w:szCs w:val="22"/>
        </w:rPr>
        <w:t xml:space="preserve"> ІК та ТК)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, а в разі, якщо суб’єктом надання є посадова особа, </w:t>
      </w:r>
      <w:r w:rsidRPr="00EB4162">
        <w:rPr>
          <w:rFonts w:asciiTheme="minorHAnsi" w:hAnsiTheme="minorHAnsi"/>
          <w:bCs/>
          <w:i/>
          <w:color w:val="000000"/>
          <w:sz w:val="22"/>
          <w:szCs w:val="22"/>
        </w:rPr>
        <w:t>–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органом, якому вона підпорядковується (частина 1 статті 8).</w:t>
      </w:r>
    </w:p>
    <w:p w14:paraId="6343CBD3" w14:textId="77777777" w:rsidR="00A97F06" w:rsidRPr="00EB4162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B4162">
        <w:rPr>
          <w:rFonts w:asciiTheme="minorHAnsi" w:hAnsiTheme="minorHAnsi"/>
          <w:color w:val="000000"/>
          <w:sz w:val="22"/>
          <w:szCs w:val="22"/>
        </w:rPr>
        <w:t>Ця норма означає, що ІК та ТК в ОМС мають затверджуватися органом, який є суб’єктом прийняття рішення щодо кожної адміністративної послуги:</w:t>
      </w:r>
    </w:p>
    <w:p w14:paraId="3AEF3685" w14:textId="436E90ED" w:rsidR="00A97F06" w:rsidRPr="00EB4162" w:rsidRDefault="00A97F06" w:rsidP="00FC14FB">
      <w:pPr>
        <w:pStyle w:val="2"/>
        <w:numPr>
          <w:ilvl w:val="0"/>
          <w:numId w:val="3"/>
        </w:numPr>
        <w:tabs>
          <w:tab w:val="right" w:pos="1134"/>
        </w:tabs>
        <w:ind w:left="0"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EB4162">
        <w:rPr>
          <w:rFonts w:asciiTheme="minorHAnsi" w:hAnsiTheme="minorHAnsi"/>
          <w:i/>
          <w:color w:val="000000"/>
          <w:sz w:val="22"/>
          <w:szCs w:val="22"/>
        </w:rPr>
        <w:t>місцевою радою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– щодо адмінпослуг, де рішення приймається радою (наприклад, передача земельних ділянок комунальної власності у власність громадян та юридичних осіб);</w:t>
      </w:r>
    </w:p>
    <w:p w14:paraId="060B5021" w14:textId="77777777" w:rsidR="00A97F06" w:rsidRPr="00EB4162" w:rsidRDefault="00A97F06" w:rsidP="00FC14FB">
      <w:pPr>
        <w:pStyle w:val="2"/>
        <w:numPr>
          <w:ilvl w:val="0"/>
          <w:numId w:val="3"/>
        </w:numPr>
        <w:tabs>
          <w:tab w:val="right" w:pos="1134"/>
        </w:tabs>
        <w:ind w:left="0"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EB4162">
        <w:rPr>
          <w:rFonts w:asciiTheme="minorHAnsi" w:hAnsiTheme="minorHAnsi"/>
          <w:i/>
          <w:color w:val="000000"/>
          <w:sz w:val="22"/>
          <w:szCs w:val="22"/>
        </w:rPr>
        <w:t>виконавчим комітетом місцевої ради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– щодо адмінпослуг, які випливають із власних повноважень виконавчого комітету або делегованих йому місцевою радою (наприклад, послуги у сфері благоустрою, обліку та розподілу житлової площі тощо);</w:t>
      </w:r>
    </w:p>
    <w:p w14:paraId="7B0DC439" w14:textId="77777777" w:rsidR="00A97F06" w:rsidRPr="00EB4162" w:rsidRDefault="00A97F06" w:rsidP="00FC14FB">
      <w:pPr>
        <w:pStyle w:val="2"/>
        <w:numPr>
          <w:ilvl w:val="0"/>
          <w:numId w:val="3"/>
        </w:numPr>
        <w:tabs>
          <w:tab w:val="right" w:pos="1134"/>
        </w:tabs>
        <w:ind w:left="0"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EB4162">
        <w:rPr>
          <w:rFonts w:asciiTheme="minorHAnsi" w:hAnsiTheme="minorHAnsi"/>
          <w:i/>
          <w:color w:val="000000"/>
          <w:sz w:val="22"/>
          <w:szCs w:val="22"/>
        </w:rPr>
        <w:t>місцевим головою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– </w:t>
      </w:r>
      <w:bookmarkStart w:id="6" w:name="_Hlk510470975"/>
      <w:r w:rsidRPr="00EB4162">
        <w:rPr>
          <w:rFonts w:asciiTheme="minorHAnsi" w:hAnsiTheme="minorHAnsi"/>
          <w:color w:val="000000"/>
          <w:sz w:val="22"/>
          <w:szCs w:val="22"/>
        </w:rPr>
        <w:t xml:space="preserve">якщо у структурі виконавчих органів місцевої ради або її апарату окремі галузеві посадові особи підпорядковані безпосередньо місцевому голові (наприклад, державні реєстратори в окремих сільських і селищних радах), а також у випадках, коли суб’єктом прийняття рішення стосовно надання адмінпослуги є сам місцевий голова; </w:t>
      </w:r>
      <w:bookmarkEnd w:id="6"/>
    </w:p>
    <w:p w14:paraId="6491B812" w14:textId="77777777" w:rsidR="00BF402D" w:rsidRDefault="00A97F06" w:rsidP="006210FD">
      <w:pPr>
        <w:pStyle w:val="2"/>
        <w:numPr>
          <w:ilvl w:val="0"/>
          <w:numId w:val="3"/>
        </w:numPr>
        <w:shd w:val="clear" w:color="auto" w:fill="FFFFFF"/>
        <w:tabs>
          <w:tab w:val="right" w:pos="1134"/>
        </w:tabs>
        <w:ind w:left="0"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F402D">
        <w:rPr>
          <w:rFonts w:asciiTheme="minorHAnsi" w:hAnsiTheme="minorHAnsi"/>
          <w:i/>
          <w:color w:val="000000"/>
          <w:sz w:val="22"/>
          <w:szCs w:val="22"/>
        </w:rPr>
        <w:t>виконавчими органами місцевої ради (їх керівниками)</w:t>
      </w:r>
      <w:r w:rsidRPr="00BF402D">
        <w:rPr>
          <w:rFonts w:asciiTheme="minorHAnsi" w:hAnsiTheme="minorHAnsi"/>
          <w:color w:val="000000"/>
          <w:sz w:val="22"/>
          <w:szCs w:val="22"/>
        </w:rPr>
        <w:t xml:space="preserve"> – якщо ці органи є суб’єктами надання адмінпослуг (наприклад, з реєстрації місця проживання, якщо для цього створено </w:t>
      </w:r>
      <w:r w:rsidR="00EC1D3F" w:rsidRPr="00BF402D">
        <w:rPr>
          <w:rFonts w:asciiTheme="minorHAnsi" w:hAnsiTheme="minorHAnsi"/>
          <w:color w:val="000000"/>
          <w:sz w:val="22"/>
          <w:szCs w:val="22"/>
        </w:rPr>
        <w:t xml:space="preserve">окремий </w:t>
      </w:r>
      <w:r w:rsidRPr="00BF402D">
        <w:rPr>
          <w:rFonts w:asciiTheme="minorHAnsi" w:hAnsiTheme="minorHAnsi"/>
          <w:color w:val="000000"/>
          <w:sz w:val="22"/>
          <w:szCs w:val="22"/>
        </w:rPr>
        <w:t xml:space="preserve">виконавчий орган, включно з ЦНАП). При цьому важливо, чи є у такого виконавчого органу  повноваження видавати накази з питань основної діяльності. </w:t>
      </w:r>
    </w:p>
    <w:p w14:paraId="25895ED8" w14:textId="2F838BAA" w:rsidR="00A97F06" w:rsidRPr="00BF402D" w:rsidRDefault="00A97F06" w:rsidP="00BF402D">
      <w:pPr>
        <w:pStyle w:val="2"/>
        <w:shd w:val="clear" w:color="auto" w:fill="FFFFFF"/>
        <w:tabs>
          <w:tab w:val="right" w:pos="1134"/>
        </w:tabs>
        <w:ind w:left="0"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F402D">
        <w:rPr>
          <w:rFonts w:asciiTheme="minorHAnsi" w:hAnsiTheme="minorHAnsi"/>
          <w:color w:val="000000"/>
          <w:sz w:val="22"/>
          <w:szCs w:val="22"/>
        </w:rPr>
        <w:t xml:space="preserve">Такий підхід щодо різних суб’єктів затвердження ІК та ТК забезпечує буквальне виконання Закону. У цьому разі </w:t>
      </w:r>
      <w:r w:rsidR="002E70FB" w:rsidRPr="00BF402D">
        <w:rPr>
          <w:rFonts w:asciiTheme="minorHAnsi" w:hAnsiTheme="minorHAnsi"/>
          <w:color w:val="000000"/>
          <w:sz w:val="22"/>
          <w:szCs w:val="22"/>
        </w:rPr>
        <w:t>доцільно</w:t>
      </w:r>
      <w:r w:rsidRPr="00BF402D">
        <w:rPr>
          <w:rFonts w:asciiTheme="minorHAnsi" w:hAnsiTheme="minorHAnsi"/>
          <w:color w:val="000000"/>
          <w:sz w:val="22"/>
          <w:szCs w:val="22"/>
        </w:rPr>
        <w:t xml:space="preserve">, щоб ІК та ТК були принаймні розроблені й затверджені </w:t>
      </w:r>
      <w:r w:rsidRPr="00BF402D">
        <w:rPr>
          <w:rFonts w:asciiTheme="minorHAnsi" w:hAnsiTheme="minorHAnsi"/>
          <w:b/>
          <w:i/>
          <w:color w:val="000000"/>
          <w:sz w:val="22"/>
          <w:szCs w:val="22"/>
        </w:rPr>
        <w:t>за єдиною формою</w:t>
      </w:r>
      <w:r w:rsidRPr="00BF402D">
        <w:rPr>
          <w:rFonts w:asciiTheme="minorHAnsi" w:hAnsiTheme="minorHAnsi"/>
          <w:color w:val="000000"/>
          <w:sz w:val="22"/>
          <w:szCs w:val="22"/>
        </w:rPr>
        <w:t xml:space="preserve"> (яку </w:t>
      </w:r>
      <w:r w:rsidR="00FA0B7E" w:rsidRPr="00BF402D">
        <w:rPr>
          <w:rFonts w:asciiTheme="minorHAnsi" w:hAnsiTheme="minorHAnsi"/>
          <w:color w:val="000000"/>
          <w:sz w:val="22"/>
          <w:szCs w:val="22"/>
        </w:rPr>
        <w:t xml:space="preserve">можна </w:t>
      </w:r>
      <w:r w:rsidRPr="00BF402D">
        <w:rPr>
          <w:rFonts w:asciiTheme="minorHAnsi" w:hAnsiTheme="minorHAnsi"/>
          <w:color w:val="000000"/>
          <w:sz w:val="22"/>
          <w:szCs w:val="22"/>
        </w:rPr>
        <w:t>затвердити, наприклад, рішенням виконавчого комітету). Суб’єкт, який затверджує форму ІК та ТК, може бути визначений у Регламенті ЦНАП та/або у рішенні про затвердження переліку адміністративних послуг, які надаються через ЦНАП</w:t>
      </w:r>
      <w:r w:rsidR="00372C68" w:rsidRPr="00BF402D">
        <w:rPr>
          <w:rFonts w:asciiTheme="minorHAnsi" w:hAnsiTheme="minorHAnsi"/>
          <w:color w:val="000000"/>
          <w:sz w:val="22"/>
          <w:szCs w:val="22"/>
        </w:rPr>
        <w:t>, або в іншому рішенні</w:t>
      </w:r>
      <w:r w:rsidRPr="00BF402D">
        <w:rPr>
          <w:rFonts w:asciiTheme="minorHAnsi" w:hAnsiTheme="minorHAnsi"/>
          <w:color w:val="000000"/>
          <w:sz w:val="22"/>
          <w:szCs w:val="22"/>
        </w:rPr>
        <w:t>.</w:t>
      </w:r>
    </w:p>
    <w:p w14:paraId="220856BE" w14:textId="77777777" w:rsidR="008B7C2B" w:rsidRPr="00197725" w:rsidRDefault="008B7C2B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16"/>
          <w:szCs w:val="16"/>
        </w:rPr>
      </w:pPr>
    </w:p>
    <w:p w14:paraId="34F47B6F" w14:textId="5CA05E84" w:rsidR="00A97F06" w:rsidRPr="00EB4162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B4162">
        <w:rPr>
          <w:rFonts w:asciiTheme="minorHAnsi" w:hAnsiTheme="minorHAnsi"/>
          <w:color w:val="000000"/>
          <w:sz w:val="22"/>
          <w:szCs w:val="22"/>
        </w:rPr>
        <w:t xml:space="preserve">Але найбільш практично </w:t>
      </w:r>
      <w:r w:rsidR="00FA0B7E">
        <w:rPr>
          <w:rFonts w:asciiTheme="minorHAnsi" w:hAnsiTheme="minorHAnsi"/>
          <w:color w:val="000000"/>
          <w:sz w:val="22"/>
          <w:szCs w:val="22"/>
          <w:lang w:val="ru-RU"/>
        </w:rPr>
        <w:t>ефективним</w:t>
      </w:r>
      <w:r w:rsidR="00FA0B7E" w:rsidRPr="00EB41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B4162">
        <w:rPr>
          <w:rFonts w:asciiTheme="minorHAnsi" w:hAnsiTheme="minorHAnsi"/>
          <w:color w:val="000000"/>
          <w:sz w:val="22"/>
          <w:szCs w:val="22"/>
        </w:rPr>
        <w:t>буде підхід, коли</w:t>
      </w:r>
      <w:r w:rsidRPr="00EB416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B4162">
        <w:rPr>
          <w:rFonts w:asciiTheme="minorHAnsi" w:hAnsiTheme="minorHAnsi"/>
          <w:b/>
          <w:i/>
          <w:color w:val="000000"/>
          <w:sz w:val="22"/>
          <w:szCs w:val="22"/>
        </w:rPr>
        <w:t>всі ІК та ТК в межах однієї місцевої ради та її виконавчих органів будуть затверджуватися одним суб’єктом</w:t>
      </w:r>
      <w:r w:rsidRPr="00EB4162">
        <w:rPr>
          <w:rFonts w:asciiTheme="minorHAnsi" w:hAnsiTheme="minorHAnsi"/>
          <w:i/>
          <w:color w:val="000000"/>
          <w:sz w:val="22"/>
          <w:szCs w:val="22"/>
        </w:rPr>
        <w:t>.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Найкраще</w:t>
      </w:r>
      <w:r w:rsidR="002E70FB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2E70FB" w:rsidRPr="0019772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рекомендується!</w:t>
      </w:r>
      <w:r w:rsidR="002E70FB">
        <w:rPr>
          <w:rFonts w:asciiTheme="minorHAnsi" w:hAnsiTheme="minorHAnsi"/>
          <w:color w:val="000000"/>
          <w:sz w:val="22"/>
          <w:szCs w:val="22"/>
        </w:rPr>
        <w:t>)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, щоб це робив виконавчий комітет, який, будучи колегіальним органом, забезпечує і належний рівень прозорості, і достатній рівень легітимності. </w:t>
      </w:r>
      <w:r w:rsidRPr="00EB4162">
        <w:rPr>
          <w:rFonts w:asciiTheme="minorHAnsi" w:hAnsiTheme="minorHAnsi"/>
          <w:b/>
          <w:i/>
          <w:color w:val="000000"/>
          <w:sz w:val="22"/>
          <w:szCs w:val="22"/>
        </w:rPr>
        <w:t xml:space="preserve">Для цього </w:t>
      </w:r>
      <w:r w:rsidRPr="00EB4162">
        <w:rPr>
          <w:rFonts w:asciiTheme="minorHAnsi" w:hAnsiTheme="minorHAnsi"/>
          <w:b/>
          <w:i/>
          <w:sz w:val="22"/>
          <w:szCs w:val="22"/>
        </w:rPr>
        <w:t>у Регламенті ЦНАП можна визначити, що ІК та ТК адміністративних послуг затверджуються виконавчим комітетом</w:t>
      </w:r>
      <w:r w:rsidRPr="00EB4162">
        <w:rPr>
          <w:rFonts w:asciiTheme="minorHAnsi" w:hAnsiTheme="minorHAnsi"/>
          <w:i/>
          <w:sz w:val="22"/>
          <w:szCs w:val="22"/>
        </w:rPr>
        <w:t xml:space="preserve"> </w:t>
      </w:r>
      <w:r w:rsidRPr="00EB4162">
        <w:rPr>
          <w:rFonts w:asciiTheme="minorHAnsi" w:hAnsiTheme="minorHAnsi"/>
          <w:sz w:val="22"/>
          <w:szCs w:val="22"/>
        </w:rPr>
        <w:t>(сільської, селищної, міської) ради. Або можна уповноважити виконавчий комітет на затвердження всіх ІК та ТК у рішенні місцевої ради про затвердження Переліку послуг для ЦНАП.</w:t>
      </w:r>
    </w:p>
    <w:p w14:paraId="223024F2" w14:textId="77777777" w:rsidR="00A97F06" w:rsidRPr="00EB4162" w:rsidRDefault="00A97F06" w:rsidP="00FC14FB">
      <w:pPr>
        <w:spacing w:after="0"/>
        <w:ind w:firstLine="567"/>
        <w:jc w:val="both"/>
      </w:pPr>
      <w:r w:rsidRPr="00EB4162">
        <w:t>Такий підхід означатиме уповноваження місцевою радою здійснювати власні не виключні повноваження виконавчий комітет щодо послуг, де суб’єктом надання є власне місцева рада.</w:t>
      </w:r>
    </w:p>
    <w:p w14:paraId="2C0626AA" w14:textId="77777777" w:rsidR="00A97F06" w:rsidRPr="00EB4162" w:rsidRDefault="00A97F06" w:rsidP="00FC14FB">
      <w:pPr>
        <w:spacing w:after="0"/>
        <w:ind w:firstLine="567"/>
        <w:jc w:val="both"/>
        <w:rPr>
          <w:bCs/>
        </w:rPr>
      </w:pPr>
      <w:r w:rsidRPr="00EB4162">
        <w:rPr>
          <w:bCs/>
        </w:rPr>
        <w:t xml:space="preserve">Таке уповноваження у Регламенті ЦНАП відповідатиме нормам </w:t>
      </w:r>
      <w:r w:rsidRPr="00EB4162">
        <w:t xml:space="preserve">Закону </w:t>
      </w:r>
      <w:r w:rsidRPr="00EB4162">
        <w:rPr>
          <w:bCs/>
        </w:rPr>
        <w:t xml:space="preserve">«Про місцеве самоврядування в Україні». </w:t>
      </w:r>
      <w:r w:rsidRPr="00EB4162">
        <w:t>Адже відповідно до частини 1 статті 52 цього Закону виконавчий комітет сільської, селищної, міської ради може розглядати і вирішувати питання, віднесені цим Законом до відання виконавчих органів ради.</w:t>
      </w:r>
    </w:p>
    <w:p w14:paraId="03061DEE" w14:textId="77777777" w:rsidR="00A97F06" w:rsidRPr="00EB4162" w:rsidRDefault="00A97F06" w:rsidP="00FC14FB">
      <w:pPr>
        <w:spacing w:after="0"/>
        <w:ind w:firstLine="567"/>
        <w:jc w:val="both"/>
      </w:pPr>
      <w:r w:rsidRPr="00EB4162">
        <w:t>Місцевий голова може підкріпити передачу власних повноважень щодо затвердження певних ІК та ТК власним розпорядженням.</w:t>
      </w:r>
    </w:p>
    <w:p w14:paraId="1CB6E298" w14:textId="77777777" w:rsidR="00A97F06" w:rsidRPr="00EB4162" w:rsidRDefault="00A97F06" w:rsidP="00FC14FB">
      <w:pPr>
        <w:spacing w:after="0"/>
        <w:ind w:firstLine="567"/>
        <w:jc w:val="both"/>
      </w:pPr>
      <w:r w:rsidRPr="00EB4162">
        <w:t>Хоча і рішення ради може бути достатньо, адже відповідно до частини 3 статті 52 Закону «Про місцеве самоврядування в Україні» сільська, селищна, міська рада може прийняти рішення про розмежування повноважень між її виконавчим комітетом, відділами, управліннями, іншими виконавчими органами ради та сільським, селищним, міським головою в межах повноважень, наданих цим Законом виконавчим органам сільських, селищних, міських рад.</w:t>
      </w:r>
    </w:p>
    <w:p w14:paraId="2F1F9E5D" w14:textId="3043A5EF" w:rsidR="00A97F06" w:rsidRPr="00EB4162" w:rsidRDefault="00A97F06" w:rsidP="00FC14FB">
      <w:pPr>
        <w:spacing w:after="0"/>
        <w:ind w:firstLine="567"/>
        <w:jc w:val="both"/>
        <w:rPr>
          <w:b/>
          <w:bCs/>
          <w:i/>
        </w:rPr>
      </w:pPr>
      <w:r w:rsidRPr="00EB4162">
        <w:lastRenderedPageBreak/>
        <w:t xml:space="preserve">Ще одним підтвердженням доцільності і законності уповноваження виконавчого комітету затверджувати ІК та ТК є пункт 3 частини 2 статті 52 Закону </w:t>
      </w:r>
      <w:r w:rsidRPr="00EB4162">
        <w:rPr>
          <w:bCs/>
        </w:rPr>
        <w:t xml:space="preserve">«Про місцеве самоврядування в Україні», </w:t>
      </w:r>
      <w:r w:rsidRPr="00EB4162">
        <w:t xml:space="preserve">згідно з яким виконавчий комітет ради має право змінювати або скасовувати акти підпорядкованих йому відділів, управлінь, інших виконавчих органів ради, а також їх посадових осіб. </w:t>
      </w:r>
    </w:p>
    <w:p w14:paraId="6B0B28A7" w14:textId="77777777" w:rsidR="00FA0B7E" w:rsidRPr="00306E09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bookmarkStart w:id="7" w:name="n847"/>
      <w:bookmarkEnd w:id="7"/>
      <w:r w:rsidRPr="00EB4162">
        <w:rPr>
          <w:rFonts w:asciiTheme="minorHAnsi" w:hAnsiTheme="minorHAnsi"/>
          <w:color w:val="000000"/>
          <w:sz w:val="22"/>
          <w:szCs w:val="22"/>
        </w:rPr>
        <w:t>Також суб’єктом затвердження ІК та ТК (за рішенням місцевої ради) може бути визначено і місцеву раду, і місцевого голову тощо. Це питання може вирішуватися кожною конкретною громадою індивідуально.</w:t>
      </w:r>
      <w:r w:rsidR="002E70F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6238AD3" w14:textId="328A758A" w:rsidR="00A97F06" w:rsidRPr="00306E09" w:rsidRDefault="00FA0B7E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306E09">
        <w:rPr>
          <w:rFonts w:asciiTheme="minorHAnsi" w:hAnsiTheme="minorHAnsi"/>
          <w:b/>
          <w:color w:val="000000"/>
          <w:sz w:val="28"/>
          <w:szCs w:val="28"/>
        </w:rPr>
        <w:t>!</w:t>
      </w:r>
      <w:r w:rsidRPr="00306E0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70FB" w:rsidRPr="00306E09">
        <w:rPr>
          <w:rFonts w:asciiTheme="minorHAnsi" w:hAnsiTheme="minorHAnsi"/>
          <w:b/>
          <w:color w:val="000000"/>
          <w:sz w:val="22"/>
          <w:szCs w:val="22"/>
        </w:rPr>
        <w:t>Тобто у цій частині ОМС мають кілька законних варіантів дій, і експерти Програми лише рекомендують ефективні рішення.</w:t>
      </w:r>
    </w:p>
    <w:p w14:paraId="3C9199BE" w14:textId="77777777" w:rsidR="00A97F06" w:rsidRPr="00EB4162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8C3E6BD" w14:textId="77777777" w:rsidR="00A97F06" w:rsidRPr="00306E09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B4162">
        <w:rPr>
          <w:rFonts w:asciiTheme="minorHAnsi" w:hAnsiTheme="minorHAnsi"/>
          <w:color w:val="000000"/>
          <w:sz w:val="22"/>
          <w:szCs w:val="22"/>
        </w:rPr>
        <w:t xml:space="preserve">Варто ще раз зауважити, що відповідно до частини 3 статті 8 Закону у разі делегування відповідно до закону повноважень з надання адміністративних послуг органам місцевого самоврядування </w:t>
      </w:r>
      <w:r w:rsidRPr="00EB4162">
        <w:rPr>
          <w:rFonts w:asciiTheme="minorHAnsi" w:hAnsiTheme="minorHAnsi"/>
          <w:i/>
          <w:color w:val="000000"/>
          <w:sz w:val="22"/>
          <w:szCs w:val="22"/>
        </w:rPr>
        <w:t>інформаційна картка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адміністративної послуги, що надається органом, якому делеговані такі повноваження, затверджується </w:t>
      </w:r>
      <w:r w:rsidRPr="008B7C2B">
        <w:rPr>
          <w:rFonts w:asciiTheme="minorHAnsi" w:hAnsiTheme="minorHAnsi"/>
          <w:color w:val="000000"/>
          <w:sz w:val="22"/>
          <w:szCs w:val="22"/>
        </w:rPr>
        <w:t>на підставі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0587">
        <w:rPr>
          <w:rFonts w:asciiTheme="minorHAnsi" w:hAnsiTheme="minorHAnsi"/>
          <w:color w:val="000000"/>
          <w:sz w:val="22"/>
          <w:szCs w:val="22"/>
        </w:rPr>
        <w:t xml:space="preserve">типової ІК, затвердженої </w:t>
      </w:r>
      <w:r w:rsidR="007C58D3" w:rsidRPr="006C0587">
        <w:rPr>
          <w:rFonts w:asciiTheme="minorHAnsi" w:hAnsiTheme="minorHAnsi"/>
          <w:color w:val="000000"/>
          <w:sz w:val="22"/>
          <w:szCs w:val="22"/>
        </w:rPr>
        <w:t>ЦОВВ</w:t>
      </w:r>
      <w:r w:rsidRPr="006C0587">
        <w:rPr>
          <w:rFonts w:asciiTheme="minorHAnsi" w:hAnsiTheme="minorHAnsi"/>
          <w:color w:val="000000"/>
          <w:sz w:val="22"/>
          <w:szCs w:val="22"/>
        </w:rPr>
        <w:t>, що забезпечує формування державної політики щодо делегованого повноваження.</w:t>
      </w:r>
    </w:p>
    <w:p w14:paraId="3EF1FA83" w14:textId="5E48F57F" w:rsidR="00A97F06" w:rsidRPr="00EB4162" w:rsidRDefault="00A97F06" w:rsidP="00FA0B7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EB4162">
        <w:rPr>
          <w:rFonts w:asciiTheme="minorHAnsi" w:hAnsiTheme="minorHAnsi"/>
          <w:color w:val="000000"/>
          <w:sz w:val="22"/>
          <w:szCs w:val="22"/>
        </w:rPr>
        <w:t>У цьому випадку йтиметься лише про ті адміністративні послуги, які визначені як делеговані повноваження. До таких послуг належать, зокрема:</w:t>
      </w:r>
      <w:r w:rsidR="00FA0B7E" w:rsidRPr="00306E0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EB41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державна реєстрація актів цивільного стану</w:t>
      </w:r>
      <w:r w:rsidR="008B7C2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(адміністративні послуги з реєстрації народження, шлюбу, смерті, крім </w:t>
      </w:r>
      <w:r w:rsidR="002B594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колишніх </w:t>
      </w:r>
      <w:r w:rsidR="008B7C2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міст обласного значення)</w:t>
      </w:r>
      <w:r w:rsidRPr="00EB41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;</w:t>
      </w:r>
      <w:r w:rsidR="00FA0B7E" w:rsidRPr="00306E0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EB41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реєстрація місця проживання;</w:t>
      </w:r>
      <w:r w:rsidR="00FA0B7E" w:rsidRPr="00306E09">
        <w:rPr>
          <w:color w:val="000000"/>
        </w:rPr>
        <w:t xml:space="preserve"> 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державна реєстрація юридичних осіб </w:t>
      </w:r>
      <w:r w:rsidR="008B7C2B">
        <w:rPr>
          <w:rFonts w:asciiTheme="minorHAnsi" w:hAnsiTheme="minorHAnsi"/>
          <w:color w:val="000000"/>
          <w:sz w:val="22"/>
          <w:szCs w:val="22"/>
        </w:rPr>
        <w:t xml:space="preserve">(крім громадських формувань) </w:t>
      </w:r>
      <w:r w:rsidRPr="00EB4162">
        <w:rPr>
          <w:rFonts w:asciiTheme="minorHAnsi" w:hAnsiTheme="minorHAnsi"/>
          <w:color w:val="000000"/>
          <w:sz w:val="22"/>
          <w:szCs w:val="22"/>
        </w:rPr>
        <w:t>та фізичних осіб – підприємців</w:t>
      </w:r>
      <w:r w:rsidRPr="00EB41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; </w:t>
      </w:r>
      <w:r w:rsidRPr="00EB4162">
        <w:rPr>
          <w:rFonts w:asciiTheme="minorHAnsi" w:hAnsiTheme="minorHAnsi"/>
          <w:color w:val="000000"/>
          <w:sz w:val="22"/>
          <w:szCs w:val="22"/>
        </w:rPr>
        <w:t>державна реєстрація речових прав на нерухоме майно та їх обтяжень</w:t>
      </w:r>
      <w:r w:rsidRPr="00EB41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;</w:t>
      </w:r>
      <w:r w:rsidR="00FA0B7E" w:rsidRPr="00306E0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EB41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надання відомостей з ДЗК.</w:t>
      </w:r>
    </w:p>
    <w:p w14:paraId="642443B0" w14:textId="77777777" w:rsidR="00895CA8" w:rsidRDefault="00895CA8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7449F463" w14:textId="78D4F36D" w:rsidR="007C58D3" w:rsidRDefault="00A97F06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F704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На практиці </w:t>
      </w:r>
      <w:r w:rsidR="009F7041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ru-RU"/>
        </w:rPr>
        <w:t>може виникати</w:t>
      </w:r>
      <w:r w:rsidR="009F7041" w:rsidRPr="009F704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9F704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ще одна проблема:</w:t>
      </w:r>
      <w:r w:rsidRPr="009F70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F704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ОМС іноді затверджують картки на адмінпослуги, де суб’єктом їх надання є органи виконавчої влади.</w:t>
      </w:r>
      <w:r w:rsidRPr="00EB4162">
        <w:rPr>
          <w:rFonts w:asciiTheme="minorHAnsi" w:hAnsiTheme="minorHAnsi"/>
          <w:color w:val="000000"/>
          <w:sz w:val="22"/>
          <w:szCs w:val="22"/>
        </w:rPr>
        <w:t xml:space="preserve"> Наприклад, таке буває з паспортними послугами, послугами з реєстрації земельних ділянок тощо. </w:t>
      </w:r>
    </w:p>
    <w:p w14:paraId="54316988" w14:textId="49632C40" w:rsidR="00A97F06" w:rsidRPr="00EB4162" w:rsidRDefault="007C58D3" w:rsidP="00FC14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6E09">
        <w:rPr>
          <w:rFonts w:asciiTheme="minorHAnsi" w:hAnsiTheme="minorHAnsi"/>
          <w:b/>
          <w:i/>
          <w:iCs/>
          <w:color w:val="000000"/>
          <w:sz w:val="28"/>
          <w:szCs w:val="28"/>
        </w:rPr>
        <w:t>!</w:t>
      </w:r>
      <w:r w:rsidR="002B5940" w:rsidRPr="00306E0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A97F06" w:rsidRPr="009F7041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Потрібно пам’ятати, що в цьому випадку має місце перевищення повноважень, адже ІК та ТК на згадані групи послуг мають затверджуватися відповідними територіальними органами ДМС, Держгеокадастру тощо</w:t>
      </w:r>
      <w:r w:rsidR="00A97F06" w:rsidRPr="008B7C2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.</w:t>
      </w:r>
      <w:r w:rsidR="00A97F06" w:rsidRPr="008B7C2B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A97F06" w:rsidRPr="00EB4162">
        <w:rPr>
          <w:rFonts w:asciiTheme="minorHAnsi" w:hAnsiTheme="minorHAnsi"/>
          <w:color w:val="000000"/>
          <w:sz w:val="22"/>
          <w:szCs w:val="22"/>
        </w:rPr>
        <w:t xml:space="preserve">До </w:t>
      </w:r>
      <w:r w:rsidR="007F50CA">
        <w:rPr>
          <w:rFonts w:asciiTheme="minorHAnsi" w:hAnsiTheme="minorHAnsi"/>
          <w:color w:val="000000"/>
          <w:sz w:val="22"/>
          <w:szCs w:val="22"/>
        </w:rPr>
        <w:t>конкретного</w:t>
      </w:r>
      <w:r w:rsidR="00A97F06" w:rsidRPr="00EB4162">
        <w:rPr>
          <w:rFonts w:asciiTheme="minorHAnsi" w:hAnsiTheme="minorHAnsi"/>
          <w:color w:val="000000"/>
          <w:sz w:val="22"/>
          <w:szCs w:val="22"/>
        </w:rPr>
        <w:t xml:space="preserve"> ОМС такі картки мають бути доведені СНАП з індивідуальними особливостями ЦНАП (контактною інформацією, платіжними реквізитами</w:t>
      </w:r>
      <w:r w:rsidR="00F01325">
        <w:rPr>
          <w:rFonts w:asciiTheme="minorHAnsi" w:hAnsiTheme="minorHAnsi"/>
          <w:color w:val="000000"/>
          <w:sz w:val="22"/>
          <w:szCs w:val="22"/>
        </w:rPr>
        <w:t xml:space="preserve"> тощо</w:t>
      </w:r>
      <w:r w:rsidR="00A97F06" w:rsidRPr="00EB4162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7F50CA">
        <w:rPr>
          <w:rFonts w:asciiTheme="minorHAnsi" w:hAnsiTheme="minorHAnsi"/>
          <w:color w:val="000000"/>
          <w:sz w:val="22"/>
          <w:szCs w:val="22"/>
        </w:rPr>
        <w:t>відповідно до</w:t>
      </w:r>
      <w:r w:rsidR="00A97F06" w:rsidRPr="00EB4162">
        <w:rPr>
          <w:rFonts w:asciiTheme="minorHAnsi" w:hAnsiTheme="minorHAnsi"/>
          <w:color w:val="000000"/>
          <w:sz w:val="22"/>
          <w:szCs w:val="22"/>
        </w:rPr>
        <w:t xml:space="preserve"> «узгодженого рішення»</w:t>
      </w:r>
      <w:r w:rsidR="007F50CA">
        <w:rPr>
          <w:rFonts w:asciiTheme="minorHAnsi" w:hAnsiTheme="minorHAnsi"/>
          <w:color w:val="000000"/>
          <w:sz w:val="22"/>
          <w:szCs w:val="22"/>
        </w:rPr>
        <w:t xml:space="preserve"> як його складова</w:t>
      </w:r>
      <w:r w:rsidR="00A97F06" w:rsidRPr="00EB4162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6AA7215" w14:textId="77777777" w:rsidR="00B326A2" w:rsidRPr="00EB4162" w:rsidRDefault="00B326A2" w:rsidP="00FC14FB">
      <w:pPr>
        <w:pStyle w:val="a3"/>
        <w:spacing w:after="0"/>
        <w:ind w:left="0" w:firstLine="567"/>
        <w:jc w:val="both"/>
      </w:pPr>
    </w:p>
    <w:p w14:paraId="53E743C7" w14:textId="1C8B8CC5" w:rsidR="008353FF" w:rsidRPr="008B7C2B" w:rsidRDefault="004C251C" w:rsidP="008B7C2B">
      <w:pPr>
        <w:spacing w:after="0"/>
        <w:ind w:firstLine="567"/>
        <w:jc w:val="both"/>
        <w:rPr>
          <w:b/>
          <w:bCs/>
        </w:rPr>
      </w:pPr>
      <w:r w:rsidRPr="00224486">
        <w:rPr>
          <w:b/>
          <w:bCs/>
        </w:rPr>
        <w:t>2</w:t>
      </w:r>
      <w:r w:rsidR="008B7C2B">
        <w:rPr>
          <w:b/>
          <w:bCs/>
        </w:rPr>
        <w:t xml:space="preserve">. </w:t>
      </w:r>
      <w:r w:rsidR="00D36693">
        <w:rPr>
          <w:b/>
          <w:bCs/>
        </w:rPr>
        <w:t>Щодо</w:t>
      </w:r>
      <w:r w:rsidR="008353FF" w:rsidRPr="008B7C2B">
        <w:rPr>
          <w:b/>
          <w:bCs/>
        </w:rPr>
        <w:t xml:space="preserve"> погодження </w:t>
      </w:r>
      <w:r w:rsidR="00AB4602" w:rsidRPr="008B7C2B">
        <w:rPr>
          <w:b/>
          <w:bCs/>
        </w:rPr>
        <w:t>ОМС</w:t>
      </w:r>
      <w:r w:rsidR="008353FF" w:rsidRPr="008B7C2B">
        <w:rPr>
          <w:b/>
          <w:bCs/>
        </w:rPr>
        <w:t xml:space="preserve"> </w:t>
      </w:r>
      <w:r w:rsidR="00AB4602" w:rsidRPr="008B7C2B">
        <w:rPr>
          <w:b/>
          <w:bCs/>
        </w:rPr>
        <w:t>ІК та ТК</w:t>
      </w:r>
      <w:r w:rsidR="008353FF" w:rsidRPr="008B7C2B">
        <w:rPr>
          <w:b/>
          <w:bCs/>
        </w:rPr>
        <w:t xml:space="preserve"> адміністративних послуг, суб’єктами надання яких є територіальні підрозділи ЦОВВ</w:t>
      </w:r>
      <w:r w:rsidR="00FC14FB" w:rsidRPr="008B7C2B">
        <w:rPr>
          <w:b/>
          <w:bCs/>
        </w:rPr>
        <w:t xml:space="preserve">, </w:t>
      </w:r>
      <w:r w:rsidR="00A97F06" w:rsidRPr="008B7C2B">
        <w:rPr>
          <w:b/>
          <w:bCs/>
        </w:rPr>
        <w:t>РДА</w:t>
      </w:r>
      <w:r w:rsidR="00FC14FB" w:rsidRPr="008B7C2B">
        <w:rPr>
          <w:b/>
          <w:bCs/>
        </w:rPr>
        <w:t xml:space="preserve"> та їх структурні підрозділи</w:t>
      </w:r>
      <w:r w:rsidR="008353FF" w:rsidRPr="008B7C2B">
        <w:rPr>
          <w:b/>
          <w:bCs/>
        </w:rPr>
        <w:t xml:space="preserve"> </w:t>
      </w:r>
    </w:p>
    <w:p w14:paraId="6A201350" w14:textId="33080CD8" w:rsidR="00945F04" w:rsidRDefault="00A97F06" w:rsidP="00FC14FB">
      <w:pPr>
        <w:pStyle w:val="a3"/>
        <w:spacing w:after="0"/>
        <w:ind w:left="0" w:firstLine="567"/>
        <w:jc w:val="both"/>
      </w:pPr>
      <w:r w:rsidRPr="00EB4162">
        <w:t xml:space="preserve">На практиці </w:t>
      </w:r>
      <w:r w:rsidR="0083576A">
        <w:t>чимало ОМС</w:t>
      </w:r>
      <w:r w:rsidRPr="00EB4162">
        <w:t xml:space="preserve"> </w:t>
      </w:r>
      <w:r w:rsidR="006D28A3" w:rsidRPr="00EB4162">
        <w:t xml:space="preserve">перед затвердженням </w:t>
      </w:r>
      <w:r w:rsidR="00334BDD">
        <w:t xml:space="preserve">ІК та ТК </w:t>
      </w:r>
      <w:r w:rsidR="006D28A3" w:rsidRPr="00EB4162">
        <w:t>відповідним СНАП погоджують такі картки власним</w:t>
      </w:r>
      <w:r w:rsidR="0083576A">
        <w:t>и</w:t>
      </w:r>
      <w:r w:rsidR="006D28A3" w:rsidRPr="00EB4162">
        <w:t xml:space="preserve"> рішенням</w:t>
      </w:r>
      <w:r w:rsidR="0083576A">
        <w:t>и</w:t>
      </w:r>
      <w:r w:rsidR="006D28A3" w:rsidRPr="00EB4162">
        <w:t xml:space="preserve">. </w:t>
      </w:r>
    </w:p>
    <w:p w14:paraId="6B91E516" w14:textId="30A411E5" w:rsidR="0083576A" w:rsidRDefault="00632B44" w:rsidP="00A74CB2">
      <w:pPr>
        <w:pStyle w:val="a3"/>
        <w:spacing w:after="0"/>
        <w:ind w:left="0" w:firstLine="567"/>
        <w:jc w:val="both"/>
      </w:pPr>
      <w:r>
        <w:t>Попри існуючі застереження, що такі дії ОМС чітко не визначені у законодавстві, н</w:t>
      </w:r>
      <w:r w:rsidR="006D28A3" w:rsidRPr="00EB4162">
        <w:t xml:space="preserve">а думку експертів Програми такий крок може мати місце як </w:t>
      </w:r>
      <w:r w:rsidR="007F50CA">
        <w:t>частина</w:t>
      </w:r>
      <w:r w:rsidR="006D28A3" w:rsidRPr="00EB4162">
        <w:t xml:space="preserve"> </w:t>
      </w:r>
      <w:r w:rsidR="007C58D3">
        <w:t>«</w:t>
      </w:r>
      <w:r w:rsidR="006D28A3" w:rsidRPr="00EB4162">
        <w:t>узгодженого рішення</w:t>
      </w:r>
      <w:r w:rsidR="007C58D3">
        <w:t>»</w:t>
      </w:r>
      <w:r w:rsidR="006D28A3" w:rsidRPr="00EB4162">
        <w:t xml:space="preserve"> між ЦНАП і СНАП</w:t>
      </w:r>
      <w:r w:rsidR="0083576A">
        <w:t xml:space="preserve"> під час узгодження порядку надання відповідної послуги через ЦНАП</w:t>
      </w:r>
      <w:r w:rsidR="006D28A3" w:rsidRPr="00EB4162">
        <w:t xml:space="preserve">. </w:t>
      </w:r>
      <w:r w:rsidR="002B5940">
        <w:t>Зокрема, р</w:t>
      </w:r>
      <w:r w:rsidR="0083576A">
        <w:t xml:space="preserve">екомендуємо взяти до уваги наступні норми законодавства. </w:t>
      </w:r>
    </w:p>
    <w:p w14:paraId="60A98723" w14:textId="6A0A0584" w:rsidR="002B5940" w:rsidRDefault="00A74CB2" w:rsidP="00A74CB2">
      <w:pPr>
        <w:pStyle w:val="a3"/>
        <w:spacing w:after="0"/>
        <w:ind w:left="0" w:firstLine="567"/>
        <w:jc w:val="both"/>
      </w:pPr>
      <w:r>
        <w:t>В</w:t>
      </w:r>
      <w:r w:rsidRPr="00EB4162">
        <w:t>ідповідно до ст. 27 Закону «Про місцеве самоврядування</w:t>
      </w:r>
      <w:r w:rsidR="002B5940">
        <w:t xml:space="preserve"> в Україні</w:t>
      </w:r>
      <w:r w:rsidRPr="00EB4162">
        <w:t xml:space="preserve">» </w:t>
      </w:r>
      <w:r w:rsidRPr="0083576A">
        <w:rPr>
          <w:b/>
          <w:bCs/>
          <w:i/>
          <w:iCs/>
        </w:rPr>
        <w:t xml:space="preserve">організаційне забезпечення надання адміністративних послуг органів виконавчої влади через </w:t>
      </w:r>
      <w:r w:rsidR="002B5940">
        <w:rPr>
          <w:b/>
          <w:bCs/>
          <w:i/>
          <w:iCs/>
        </w:rPr>
        <w:t>ЦНАП</w:t>
      </w:r>
      <w:r w:rsidRPr="0083576A">
        <w:rPr>
          <w:b/>
          <w:bCs/>
          <w:i/>
          <w:iCs/>
        </w:rPr>
        <w:t xml:space="preserve"> є делегованим державою повноваженням органам місцевого самоврядування</w:t>
      </w:r>
      <w:r w:rsidRPr="0083576A">
        <w:rPr>
          <w:i/>
          <w:iCs/>
        </w:rPr>
        <w:t>.</w:t>
      </w:r>
      <w:r w:rsidRPr="00EB4162">
        <w:t xml:space="preserve"> </w:t>
      </w:r>
      <w:r w:rsidR="00945F04">
        <w:t>Відповідно, д</w:t>
      </w:r>
      <w:r w:rsidRPr="00EB4162">
        <w:t xml:space="preserve">ержава </w:t>
      </w:r>
      <w:r w:rsidR="00D90B43">
        <w:t xml:space="preserve">насамперед в особі ЦОВВ, які відповідають за реалізацію державної політики у відповідних сферах, </w:t>
      </w:r>
      <w:r w:rsidRPr="00EB4162">
        <w:t xml:space="preserve">зобов’язана забезпечити відповідні умови для належного виконання ОМС цього делегованого повноваження. </w:t>
      </w:r>
    </w:p>
    <w:p w14:paraId="62B22307" w14:textId="702C40AA" w:rsidR="00A74CB2" w:rsidRPr="001E5DFD" w:rsidRDefault="00D90B43" w:rsidP="00A74CB2">
      <w:pPr>
        <w:pStyle w:val="a3"/>
        <w:spacing w:after="0"/>
        <w:ind w:left="0" w:firstLine="567"/>
        <w:jc w:val="both"/>
        <w:rPr>
          <w:b/>
          <w:bCs/>
          <w:i/>
          <w:iCs/>
        </w:rPr>
      </w:pPr>
      <w:r w:rsidRPr="001E5DFD">
        <w:rPr>
          <w:b/>
          <w:bCs/>
          <w:i/>
          <w:iCs/>
        </w:rPr>
        <w:t xml:space="preserve">Отже, </w:t>
      </w:r>
      <w:r w:rsidR="00A74CB2" w:rsidRPr="001E5DFD">
        <w:rPr>
          <w:b/>
          <w:bCs/>
          <w:i/>
          <w:iCs/>
        </w:rPr>
        <w:t xml:space="preserve">порядок надання </w:t>
      </w:r>
      <w:r w:rsidR="007C58D3" w:rsidRPr="001E5DFD">
        <w:rPr>
          <w:b/>
          <w:bCs/>
          <w:i/>
          <w:iCs/>
        </w:rPr>
        <w:t xml:space="preserve">адміністративних </w:t>
      </w:r>
      <w:r w:rsidR="00A74CB2" w:rsidRPr="001E5DFD">
        <w:rPr>
          <w:b/>
          <w:bCs/>
          <w:i/>
          <w:iCs/>
        </w:rPr>
        <w:t>послуг</w:t>
      </w:r>
      <w:r w:rsidR="001E5DFD">
        <w:rPr>
          <w:b/>
          <w:bCs/>
          <w:i/>
          <w:iCs/>
        </w:rPr>
        <w:t xml:space="preserve"> через ЦНАП</w:t>
      </w:r>
      <w:r w:rsidR="007C58D3" w:rsidRPr="001E5DFD">
        <w:rPr>
          <w:b/>
          <w:bCs/>
          <w:i/>
          <w:iCs/>
        </w:rPr>
        <w:t>, суб’єктами яких є тер</w:t>
      </w:r>
      <w:r w:rsidR="001E5DFD">
        <w:rPr>
          <w:b/>
          <w:bCs/>
          <w:i/>
          <w:iCs/>
        </w:rPr>
        <w:t>иторіальні</w:t>
      </w:r>
      <w:r w:rsidR="007C58D3" w:rsidRPr="001E5DFD">
        <w:rPr>
          <w:b/>
          <w:bCs/>
          <w:i/>
          <w:iCs/>
        </w:rPr>
        <w:t xml:space="preserve"> </w:t>
      </w:r>
      <w:r w:rsidR="00334BDD">
        <w:rPr>
          <w:b/>
          <w:bCs/>
          <w:i/>
          <w:iCs/>
        </w:rPr>
        <w:t xml:space="preserve">підрозділи </w:t>
      </w:r>
      <w:r w:rsidR="007C58D3" w:rsidRPr="001E5DFD">
        <w:rPr>
          <w:b/>
          <w:bCs/>
          <w:i/>
          <w:iCs/>
        </w:rPr>
        <w:t>ЦОВВ та РДА,</w:t>
      </w:r>
      <w:r w:rsidR="00A74CB2" w:rsidRPr="001E5DFD">
        <w:rPr>
          <w:b/>
          <w:bCs/>
          <w:i/>
          <w:iCs/>
        </w:rPr>
        <w:t xml:space="preserve"> м</w:t>
      </w:r>
      <w:r w:rsidR="00945F04" w:rsidRPr="001E5DFD">
        <w:rPr>
          <w:b/>
          <w:bCs/>
          <w:i/>
          <w:iCs/>
        </w:rPr>
        <w:t xml:space="preserve">істить </w:t>
      </w:r>
      <w:r w:rsidR="007C58D3" w:rsidRPr="001E5DFD">
        <w:rPr>
          <w:b/>
          <w:bCs/>
          <w:i/>
          <w:iCs/>
        </w:rPr>
        <w:t>дві</w:t>
      </w:r>
      <w:r w:rsidR="00945F04" w:rsidRPr="001E5DFD">
        <w:rPr>
          <w:b/>
          <w:bCs/>
          <w:i/>
          <w:iCs/>
        </w:rPr>
        <w:t xml:space="preserve"> взаємопов’язані і</w:t>
      </w:r>
      <w:r w:rsidR="00A74CB2" w:rsidRPr="001E5DFD">
        <w:rPr>
          <w:b/>
          <w:bCs/>
          <w:i/>
          <w:iCs/>
        </w:rPr>
        <w:t xml:space="preserve"> нерозривні складові: робота ЦНАП </w:t>
      </w:r>
      <w:r w:rsidR="00FA0B7E" w:rsidRPr="00A919A8">
        <w:rPr>
          <w:b/>
          <w:bCs/>
          <w:i/>
          <w:iCs/>
        </w:rPr>
        <w:t xml:space="preserve">ОМС </w:t>
      </w:r>
      <w:r w:rsidR="00A74CB2" w:rsidRPr="001E5DFD">
        <w:rPr>
          <w:b/>
          <w:bCs/>
          <w:i/>
          <w:iCs/>
        </w:rPr>
        <w:t>як фронт-офісу відповідно до делегованого державою повноваження та бек-офісу (СНАП</w:t>
      </w:r>
      <w:r w:rsidR="00FA0B7E" w:rsidRPr="006509CB">
        <w:rPr>
          <w:b/>
          <w:bCs/>
          <w:i/>
          <w:iCs/>
        </w:rPr>
        <w:t>, у анал</w:t>
      </w:r>
      <w:r w:rsidR="00FA0B7E">
        <w:rPr>
          <w:b/>
          <w:bCs/>
          <w:i/>
          <w:iCs/>
        </w:rPr>
        <w:t xml:space="preserve">ізованій проблематиці </w:t>
      </w:r>
      <w:r w:rsidR="00F0791E">
        <w:rPr>
          <w:b/>
          <w:bCs/>
          <w:i/>
          <w:iCs/>
        </w:rPr>
        <w:t>–</w:t>
      </w:r>
      <w:r w:rsidR="00FA0B7E">
        <w:rPr>
          <w:b/>
          <w:bCs/>
          <w:i/>
          <w:iCs/>
        </w:rPr>
        <w:t xml:space="preserve"> ОВВ</w:t>
      </w:r>
      <w:r w:rsidR="00A74CB2" w:rsidRPr="001E5DFD">
        <w:rPr>
          <w:b/>
          <w:bCs/>
          <w:i/>
          <w:iCs/>
        </w:rPr>
        <w:t xml:space="preserve">). </w:t>
      </w:r>
    </w:p>
    <w:p w14:paraId="31E6A825" w14:textId="77777777" w:rsidR="00A74CB2" w:rsidRDefault="00A74CB2" w:rsidP="00FC14FB">
      <w:pPr>
        <w:pStyle w:val="a3"/>
        <w:spacing w:after="0"/>
        <w:ind w:left="0" w:firstLine="567"/>
        <w:jc w:val="both"/>
      </w:pPr>
    </w:p>
    <w:p w14:paraId="1C51A7CE" w14:textId="03998CE4" w:rsidR="00A74CB2" w:rsidRPr="00EB4162" w:rsidRDefault="00CB3E43" w:rsidP="00A74CB2">
      <w:pPr>
        <w:pStyle w:val="a3"/>
        <w:spacing w:after="0"/>
        <w:ind w:left="0" w:firstLine="567"/>
        <w:jc w:val="both"/>
      </w:pPr>
      <w:r>
        <w:t>В</w:t>
      </w:r>
      <w:r w:rsidR="00B37F2C" w:rsidRPr="00EB4162">
        <w:t xml:space="preserve">ідповідно до </w:t>
      </w:r>
      <w:r w:rsidR="001E5DFD">
        <w:t xml:space="preserve">частини 2 </w:t>
      </w:r>
      <w:r w:rsidR="002A056C">
        <w:t xml:space="preserve">статті 8 </w:t>
      </w:r>
      <w:r w:rsidR="00B37F2C" w:rsidRPr="00EB4162">
        <w:t xml:space="preserve">Закону </w:t>
      </w:r>
      <w:r w:rsidR="00A74CB2">
        <w:t>ІК</w:t>
      </w:r>
      <w:r w:rsidR="006D28A3" w:rsidRPr="00EB4162">
        <w:t xml:space="preserve"> адміністративної послуги, що надається територіальним органом </w:t>
      </w:r>
      <w:r w:rsidR="008B7C2B">
        <w:t>ЦОВВ</w:t>
      </w:r>
      <w:r w:rsidR="006D28A3" w:rsidRPr="00EB4162">
        <w:t xml:space="preserve">, іншого державного органу, їх посадовими особами, які уповноважені відповідно до закону надавати адміністративну послугу, затверджується </w:t>
      </w:r>
      <w:r w:rsidR="006D28A3" w:rsidRPr="008B7C2B">
        <w:rPr>
          <w:b/>
          <w:bCs/>
          <w:i/>
          <w:iCs/>
        </w:rPr>
        <w:t>на підставі</w:t>
      </w:r>
      <w:r w:rsidR="006D28A3" w:rsidRPr="008B7C2B">
        <w:rPr>
          <w:i/>
          <w:iCs/>
        </w:rPr>
        <w:t xml:space="preserve"> </w:t>
      </w:r>
      <w:r w:rsidR="006D28A3" w:rsidRPr="00EB4162">
        <w:t xml:space="preserve">типової </w:t>
      </w:r>
      <w:r w:rsidR="006D28A3" w:rsidRPr="00EB4162">
        <w:lastRenderedPageBreak/>
        <w:t xml:space="preserve">інформаційної картки, затвердженої відповідним </w:t>
      </w:r>
      <w:r w:rsidR="00A74CB2">
        <w:t>ЦОВВ</w:t>
      </w:r>
      <w:r w:rsidR="006D28A3" w:rsidRPr="00EB4162">
        <w:t>, іншим державним органом.</w:t>
      </w:r>
      <w:r w:rsidR="00B37F2C" w:rsidRPr="00EB4162">
        <w:t xml:space="preserve"> </w:t>
      </w:r>
      <w:r w:rsidR="00B36E98" w:rsidRPr="008B7C2B">
        <w:rPr>
          <w:b/>
          <w:bCs/>
          <w:i/>
          <w:iCs/>
        </w:rPr>
        <w:t>Отже</w:t>
      </w:r>
      <w:r w:rsidR="00A74CB2">
        <w:rPr>
          <w:b/>
          <w:bCs/>
          <w:i/>
          <w:iCs/>
        </w:rPr>
        <w:t>,</w:t>
      </w:r>
      <w:r w:rsidR="00B36E98" w:rsidRPr="008B7C2B">
        <w:rPr>
          <w:b/>
          <w:bCs/>
          <w:i/>
          <w:iCs/>
        </w:rPr>
        <w:t xml:space="preserve"> законодавець передбач</w:t>
      </w:r>
      <w:r>
        <w:rPr>
          <w:b/>
          <w:bCs/>
          <w:i/>
          <w:iCs/>
        </w:rPr>
        <w:t>ив</w:t>
      </w:r>
      <w:r w:rsidR="008B7C2B">
        <w:rPr>
          <w:b/>
          <w:bCs/>
          <w:i/>
          <w:iCs/>
        </w:rPr>
        <w:t>,</w:t>
      </w:r>
      <w:r w:rsidR="00B36E98" w:rsidRPr="008B7C2B">
        <w:rPr>
          <w:b/>
          <w:bCs/>
          <w:i/>
          <w:iCs/>
        </w:rPr>
        <w:t xml:space="preserve"> попри наявність </w:t>
      </w:r>
      <w:r w:rsidR="00A74CB2">
        <w:rPr>
          <w:b/>
          <w:bCs/>
          <w:i/>
          <w:iCs/>
        </w:rPr>
        <w:t xml:space="preserve">затвердженої </w:t>
      </w:r>
      <w:r w:rsidR="00B36E98" w:rsidRPr="008B7C2B">
        <w:rPr>
          <w:b/>
          <w:bCs/>
          <w:i/>
          <w:iCs/>
        </w:rPr>
        <w:t xml:space="preserve">типової </w:t>
      </w:r>
      <w:r w:rsidR="008B7C2B">
        <w:rPr>
          <w:b/>
          <w:bCs/>
          <w:i/>
          <w:iCs/>
        </w:rPr>
        <w:t>ІК,</w:t>
      </w:r>
      <w:r w:rsidR="00B36E98" w:rsidRPr="008B7C2B">
        <w:rPr>
          <w:b/>
          <w:bCs/>
          <w:i/>
          <w:iCs/>
        </w:rPr>
        <w:t xml:space="preserve"> </w:t>
      </w:r>
      <w:r w:rsidR="00C031A9" w:rsidRPr="008B7C2B">
        <w:rPr>
          <w:b/>
          <w:bCs/>
          <w:i/>
          <w:iCs/>
        </w:rPr>
        <w:t xml:space="preserve">обов’язок територіального підрозділу ЦОВВ прийняти </w:t>
      </w:r>
      <w:r w:rsidR="00523D8B" w:rsidRPr="008B7C2B">
        <w:rPr>
          <w:b/>
          <w:bCs/>
          <w:i/>
          <w:iCs/>
        </w:rPr>
        <w:t>окреме</w:t>
      </w:r>
      <w:r w:rsidR="00B36E98" w:rsidRPr="008B7C2B">
        <w:rPr>
          <w:b/>
          <w:bCs/>
          <w:i/>
          <w:iCs/>
        </w:rPr>
        <w:t xml:space="preserve"> рішення </w:t>
      </w:r>
      <w:r w:rsidR="00523D8B" w:rsidRPr="008B7C2B">
        <w:rPr>
          <w:b/>
          <w:bCs/>
          <w:i/>
          <w:iCs/>
        </w:rPr>
        <w:t>для</w:t>
      </w:r>
      <w:r w:rsidR="00C031A9" w:rsidRPr="008B7C2B">
        <w:rPr>
          <w:b/>
          <w:bCs/>
          <w:i/>
          <w:iCs/>
        </w:rPr>
        <w:t xml:space="preserve"> затвердження </w:t>
      </w:r>
      <w:r>
        <w:rPr>
          <w:b/>
          <w:bCs/>
          <w:i/>
          <w:iCs/>
        </w:rPr>
        <w:t>ІК, суб’єктом надання якої він є,</w:t>
      </w:r>
      <w:r w:rsidR="00F01325" w:rsidRPr="008B7C2B">
        <w:rPr>
          <w:b/>
          <w:bCs/>
          <w:i/>
          <w:iCs/>
        </w:rPr>
        <w:t xml:space="preserve"> </w:t>
      </w:r>
      <w:r w:rsidR="00DC3CE2">
        <w:rPr>
          <w:b/>
          <w:bCs/>
          <w:i/>
          <w:iCs/>
        </w:rPr>
        <w:t>та надати таку ІК</w:t>
      </w:r>
      <w:r w:rsidR="00F01325" w:rsidRPr="008B7C2B">
        <w:rPr>
          <w:b/>
          <w:bCs/>
          <w:i/>
          <w:iCs/>
        </w:rPr>
        <w:t xml:space="preserve"> відповідно</w:t>
      </w:r>
      <w:r w:rsidR="00DC3CE2">
        <w:rPr>
          <w:b/>
          <w:bCs/>
          <w:i/>
          <w:iCs/>
        </w:rPr>
        <w:t>му</w:t>
      </w:r>
      <w:r w:rsidR="00F01325" w:rsidRPr="008B7C2B">
        <w:rPr>
          <w:b/>
          <w:bCs/>
          <w:i/>
          <w:iCs/>
        </w:rPr>
        <w:t xml:space="preserve"> ЦНАП</w:t>
      </w:r>
      <w:r w:rsidR="00523D8B" w:rsidRPr="008B7C2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ОМС</w:t>
      </w:r>
      <w:r w:rsidR="00B36E98" w:rsidRPr="008B7C2B">
        <w:rPr>
          <w:b/>
          <w:bCs/>
          <w:i/>
          <w:iCs/>
        </w:rPr>
        <w:t>.</w:t>
      </w:r>
      <w:r w:rsidR="00B36E98" w:rsidRPr="008B7C2B">
        <w:rPr>
          <w:i/>
          <w:iCs/>
        </w:rPr>
        <w:t xml:space="preserve"> </w:t>
      </w:r>
    </w:p>
    <w:p w14:paraId="039F5418" w14:textId="77777777" w:rsidR="00A97F06" w:rsidRPr="00EB4162" w:rsidRDefault="00A74CB2" w:rsidP="00FC14FB">
      <w:pPr>
        <w:pStyle w:val="a3"/>
        <w:spacing w:after="0"/>
        <w:ind w:left="0" w:firstLine="567"/>
        <w:jc w:val="both"/>
      </w:pPr>
      <w:r>
        <w:t>Д</w:t>
      </w:r>
      <w:r w:rsidR="006D28A3" w:rsidRPr="00EB4162">
        <w:t xml:space="preserve">ля затвердження </w:t>
      </w:r>
      <w:r>
        <w:t>ІК</w:t>
      </w:r>
      <w:r w:rsidR="006D28A3" w:rsidRPr="00EB4162">
        <w:t xml:space="preserve"> </w:t>
      </w:r>
      <w:r w:rsidR="006D28A3" w:rsidRPr="00224486">
        <w:rPr>
          <w:b/>
          <w:bCs/>
          <w:i/>
          <w:iCs/>
        </w:rPr>
        <w:t>на підставі</w:t>
      </w:r>
      <w:r w:rsidR="006D28A3" w:rsidRPr="00EB4162">
        <w:t xml:space="preserve"> типов</w:t>
      </w:r>
      <w:r>
        <w:t>ої</w:t>
      </w:r>
      <w:r w:rsidR="006D28A3" w:rsidRPr="00EB4162">
        <w:t xml:space="preserve">, відповідний СНАП має внести </w:t>
      </w:r>
      <w:r>
        <w:t xml:space="preserve">(заповнити) </w:t>
      </w:r>
      <w:r w:rsidR="006D28A3" w:rsidRPr="00EB4162">
        <w:t xml:space="preserve">до </w:t>
      </w:r>
      <w:r>
        <w:t>ІК</w:t>
      </w:r>
      <w:r w:rsidR="006D28A3" w:rsidRPr="00EB4162">
        <w:t xml:space="preserve"> інформацію, що </w:t>
      </w:r>
      <w:r w:rsidR="006D28A3" w:rsidRPr="006509CB">
        <w:rPr>
          <w:b/>
          <w:i/>
        </w:rPr>
        <w:t>має індивідуальний характер</w:t>
      </w:r>
      <w:r w:rsidR="006D28A3" w:rsidRPr="00EB4162">
        <w:t xml:space="preserve"> для відповідного ЦНАП</w:t>
      </w:r>
      <w:r w:rsidR="00D92437">
        <w:t>. Отже ОМС, який утворив ЦНАП</w:t>
      </w:r>
      <w:r w:rsidR="00CB3E43">
        <w:t>,</w:t>
      </w:r>
      <w:r w:rsidR="00D92437">
        <w:t xml:space="preserve"> </w:t>
      </w:r>
      <w:r w:rsidR="00CB3E43">
        <w:t>має</w:t>
      </w:r>
      <w:r w:rsidR="00D92437">
        <w:t xml:space="preserve"> надати відповідному СНАП інформацію для внесення до ІК. </w:t>
      </w:r>
    </w:p>
    <w:p w14:paraId="1269D06C" w14:textId="74D21934" w:rsidR="00B37F2C" w:rsidRPr="00EB4162" w:rsidRDefault="008C781D" w:rsidP="00FC14FB">
      <w:pPr>
        <w:pStyle w:val="a3"/>
        <w:spacing w:after="0"/>
        <w:ind w:left="0" w:firstLine="567"/>
        <w:jc w:val="both"/>
      </w:pPr>
      <w:r>
        <w:t xml:space="preserve">ЦНАП і </w:t>
      </w:r>
      <w:r w:rsidR="00D92437" w:rsidRPr="00EB4162">
        <w:t xml:space="preserve">СНАП </w:t>
      </w:r>
      <w:r w:rsidR="00D92437">
        <w:t>ма</w:t>
      </w:r>
      <w:r>
        <w:t>ють</w:t>
      </w:r>
      <w:r w:rsidR="00D92437" w:rsidRPr="00EB4162">
        <w:t xml:space="preserve"> узгодити зміст такої інформації </w:t>
      </w:r>
      <w:r>
        <w:t>для</w:t>
      </w:r>
      <w:r w:rsidR="00D92437" w:rsidRPr="00EB4162">
        <w:t xml:space="preserve"> врахува</w:t>
      </w:r>
      <w:r>
        <w:t>ння</w:t>
      </w:r>
      <w:r w:rsidR="00D92437" w:rsidRPr="00EB4162">
        <w:t xml:space="preserve"> її </w:t>
      </w:r>
      <w:r w:rsidR="00A179A8">
        <w:t>в ІК</w:t>
      </w:r>
      <w:r w:rsidR="00D92437">
        <w:t xml:space="preserve">. </w:t>
      </w:r>
      <w:r>
        <w:t xml:space="preserve">Зокрема, мова йде про наступну </w:t>
      </w:r>
      <w:r w:rsidR="00D92437">
        <w:t>обов’язков</w:t>
      </w:r>
      <w:r>
        <w:t>у</w:t>
      </w:r>
      <w:r w:rsidR="00D92437">
        <w:t xml:space="preserve"> інформаці</w:t>
      </w:r>
      <w:r>
        <w:t>ю</w:t>
      </w:r>
      <w:r w:rsidR="00D92437">
        <w:t xml:space="preserve"> </w:t>
      </w:r>
      <w:r>
        <w:t xml:space="preserve">в ІК </w:t>
      </w:r>
      <w:r w:rsidR="00D92437">
        <w:t>за законом:</w:t>
      </w:r>
    </w:p>
    <w:p w14:paraId="006D7F74" w14:textId="40E02812" w:rsidR="00BC3E73" w:rsidRPr="0032721D" w:rsidRDefault="0032721D" w:rsidP="0032721D">
      <w:pPr>
        <w:spacing w:after="0"/>
        <w:ind w:firstLine="567"/>
        <w:jc w:val="both"/>
        <w:rPr>
          <w:i/>
          <w:iCs/>
        </w:rPr>
      </w:pPr>
      <w:r w:rsidRPr="0032721D">
        <w:rPr>
          <w:b/>
          <w:bCs/>
        </w:rPr>
        <w:t>1)</w:t>
      </w:r>
      <w:r>
        <w:t xml:space="preserve"> </w:t>
      </w:r>
      <w:r w:rsidR="00B37F2C" w:rsidRPr="00EB4162">
        <w:t xml:space="preserve">суб’єкта надання адміністративної послуги та/або </w:t>
      </w:r>
      <w:r w:rsidR="00B37F2C" w:rsidRPr="0032721D">
        <w:rPr>
          <w:i/>
          <w:iCs/>
        </w:rPr>
        <w:t>центр надання адміністративних послуг (найменування, місцезнаходження, режим роботи, телефон, адресу електронної пошти та веб-сайту)</w:t>
      </w:r>
      <w:r w:rsidR="00D92437" w:rsidRPr="0032721D">
        <w:rPr>
          <w:i/>
          <w:iCs/>
        </w:rPr>
        <w:t xml:space="preserve">. </w:t>
      </w:r>
    </w:p>
    <w:p w14:paraId="03BF2BCF" w14:textId="719BEE48" w:rsidR="00B37F2C" w:rsidRDefault="00D92437" w:rsidP="009363C9">
      <w:pPr>
        <w:pStyle w:val="a3"/>
        <w:spacing w:after="0"/>
        <w:ind w:left="0" w:firstLine="567"/>
        <w:jc w:val="both"/>
        <w:rPr>
          <w:b/>
          <w:bCs/>
          <w:i/>
          <w:iCs/>
        </w:rPr>
      </w:pPr>
      <w:r w:rsidRPr="005725F2">
        <w:rPr>
          <w:b/>
          <w:bCs/>
          <w:i/>
          <w:iCs/>
        </w:rPr>
        <w:t>СНАП вн</w:t>
      </w:r>
      <w:r w:rsidR="00BC532B">
        <w:rPr>
          <w:b/>
          <w:bCs/>
          <w:i/>
          <w:iCs/>
        </w:rPr>
        <w:t>о</w:t>
      </w:r>
      <w:r w:rsidRPr="005725F2">
        <w:rPr>
          <w:b/>
          <w:bCs/>
          <w:i/>
          <w:iCs/>
        </w:rPr>
        <w:t>с</w:t>
      </w:r>
      <w:r w:rsidR="00BC532B">
        <w:rPr>
          <w:b/>
          <w:bCs/>
          <w:i/>
          <w:iCs/>
        </w:rPr>
        <w:t>и</w:t>
      </w:r>
      <w:r w:rsidRPr="005725F2">
        <w:rPr>
          <w:b/>
          <w:bCs/>
          <w:i/>
          <w:iCs/>
        </w:rPr>
        <w:t>т</w:t>
      </w:r>
      <w:r w:rsidR="00BC532B">
        <w:rPr>
          <w:b/>
          <w:bCs/>
          <w:i/>
          <w:iCs/>
        </w:rPr>
        <w:t>ь</w:t>
      </w:r>
      <w:r w:rsidRPr="005725F2">
        <w:rPr>
          <w:b/>
          <w:bCs/>
          <w:i/>
          <w:iCs/>
        </w:rPr>
        <w:t xml:space="preserve"> до ІК інформацію</w:t>
      </w:r>
      <w:r>
        <w:rPr>
          <w:i/>
          <w:iCs/>
        </w:rPr>
        <w:t xml:space="preserve"> </w:t>
      </w:r>
      <w:r w:rsidRPr="008C781D">
        <w:t xml:space="preserve">про </w:t>
      </w:r>
      <w:r w:rsidRPr="00EB4162">
        <w:t>назв</w:t>
      </w:r>
      <w:r>
        <w:t>у</w:t>
      </w:r>
      <w:r w:rsidRPr="00EB4162">
        <w:t xml:space="preserve"> ЦНАП, адрес</w:t>
      </w:r>
      <w:r>
        <w:t>у</w:t>
      </w:r>
      <w:r w:rsidRPr="00EB4162">
        <w:t xml:space="preserve"> розташування основного офісу ЦНАП, </w:t>
      </w:r>
      <w:r>
        <w:t xml:space="preserve">за наявності </w:t>
      </w:r>
      <w:r w:rsidR="00A179A8">
        <w:t xml:space="preserve">та можливості надання там відповідних послуг </w:t>
      </w:r>
      <w:r>
        <w:t xml:space="preserve">– його </w:t>
      </w:r>
      <w:r w:rsidRPr="00EB4162">
        <w:t>терпідрозділів</w:t>
      </w:r>
      <w:r w:rsidR="005725F2">
        <w:t xml:space="preserve"> та/або</w:t>
      </w:r>
      <w:r w:rsidRPr="00EB4162">
        <w:t xml:space="preserve"> віддалених робочих місць</w:t>
      </w:r>
      <w:r w:rsidR="005725F2">
        <w:t xml:space="preserve"> (які є невід’ємною частиною ЦНАП)</w:t>
      </w:r>
      <w:r w:rsidRPr="00EB4162">
        <w:t xml:space="preserve">, графіки прийому </w:t>
      </w:r>
      <w:r w:rsidR="005725F2">
        <w:t xml:space="preserve">відвідувачів </w:t>
      </w:r>
      <w:r w:rsidRPr="00EB4162">
        <w:t>в кожній з таких точок доступу до послуг</w:t>
      </w:r>
      <w:r w:rsidR="005725F2">
        <w:t xml:space="preserve">. Варто врахувати, що визначення </w:t>
      </w:r>
      <w:r w:rsidR="00A179A8">
        <w:t xml:space="preserve">найменування ЦНАП, утворення терпідрозділів та/або ВРМ, визначення переліків послуг, </w:t>
      </w:r>
      <w:r w:rsidR="005729F0">
        <w:t>годин</w:t>
      </w:r>
      <w:r w:rsidR="005725F2">
        <w:t xml:space="preserve"> прийому відвідувачів у ЦНАП, його терпідрозділах та ВРМ – це виключна компетенція органу, який утворив ЦНАП. </w:t>
      </w:r>
      <w:r w:rsidR="00C004CB">
        <w:rPr>
          <w:b/>
          <w:bCs/>
          <w:i/>
          <w:iCs/>
        </w:rPr>
        <w:t>Таку інформацію до ІК надає</w:t>
      </w:r>
      <w:r w:rsidR="00F7608A" w:rsidRPr="00F7608A">
        <w:rPr>
          <w:b/>
          <w:bCs/>
          <w:i/>
          <w:iCs/>
        </w:rPr>
        <w:t xml:space="preserve"> </w:t>
      </w:r>
      <w:r w:rsidR="00BC3E73">
        <w:rPr>
          <w:b/>
          <w:bCs/>
          <w:i/>
          <w:iCs/>
        </w:rPr>
        <w:t>ОМС</w:t>
      </w:r>
      <w:r w:rsidR="00F7608A" w:rsidRPr="00F7608A">
        <w:rPr>
          <w:b/>
          <w:bCs/>
          <w:i/>
          <w:iCs/>
        </w:rPr>
        <w:t>, який утворив ЦНАП</w:t>
      </w:r>
      <w:r w:rsidR="0005281C">
        <w:rPr>
          <w:b/>
          <w:bCs/>
          <w:i/>
          <w:iCs/>
        </w:rPr>
        <w:t>;</w:t>
      </w:r>
    </w:p>
    <w:p w14:paraId="58004D2F" w14:textId="2A63519C" w:rsidR="00846F0F" w:rsidRDefault="00B37F2C" w:rsidP="00BC3E73">
      <w:pPr>
        <w:spacing w:after="0"/>
        <w:ind w:firstLine="567"/>
        <w:jc w:val="both"/>
      </w:pPr>
      <w:r w:rsidRPr="0078752E">
        <w:rPr>
          <w:b/>
        </w:rPr>
        <w:t>2)</w:t>
      </w:r>
      <w:r w:rsidRPr="00EB4162">
        <w:t xml:space="preserve"> </w:t>
      </w:r>
      <w:r w:rsidRPr="00492F02">
        <w:rPr>
          <w:i/>
          <w:iCs/>
        </w:rPr>
        <w:t>перелік документів, необхідних для отримання адмінпослуги, порядок та спосіб їх подання</w:t>
      </w:r>
      <w:r w:rsidRPr="00EB4162">
        <w:rPr>
          <w:b/>
          <w:bCs/>
        </w:rPr>
        <w:t xml:space="preserve">, </w:t>
      </w:r>
      <w:r w:rsidRPr="00EB4162">
        <w:t xml:space="preserve">а у разі потреби </w:t>
      </w:r>
      <w:r w:rsidR="00F0791E">
        <w:t>–</w:t>
      </w:r>
      <w:r w:rsidRPr="00EB4162">
        <w:t xml:space="preserve"> інформацію про умови чи підстави отримання адміністративної послуги</w:t>
      </w:r>
      <w:r w:rsidR="00E345A3">
        <w:t xml:space="preserve">. </w:t>
      </w:r>
    </w:p>
    <w:p w14:paraId="2D1E4232" w14:textId="7C0A2E00" w:rsidR="00B768FF" w:rsidRDefault="00343D48" w:rsidP="00BC3E73">
      <w:pPr>
        <w:spacing w:after="0"/>
        <w:ind w:firstLine="567"/>
        <w:jc w:val="both"/>
      </w:pPr>
      <w:r>
        <w:t xml:space="preserve">ЦНАП може пропонувати відповідні уточнення </w:t>
      </w:r>
      <w:r w:rsidRPr="00343D48">
        <w:t xml:space="preserve">до переліку необхідних для отримання послуги документів. Адже відповідно до частини 7 статті 9 Закону  </w:t>
      </w:r>
      <w:r w:rsidRPr="00BC3E73">
        <w:rPr>
          <w:b/>
          <w:bCs/>
          <w:i/>
          <w:iCs/>
        </w:rPr>
        <w:t>суб’єкт надання адміністративної послуги не може вимагати від суб’єкта звернення документи або інформацію, що перебувають у володінні</w:t>
      </w:r>
      <w:r w:rsidRPr="00343D48">
        <w:t xml:space="preserve"> суб’єкта надання адміністративних послуг або у володінні державних органів, органів влади Автономної Республіки Крим, </w:t>
      </w:r>
      <w:r w:rsidRPr="00BC3E73">
        <w:rPr>
          <w:b/>
          <w:bCs/>
          <w:i/>
          <w:iCs/>
        </w:rPr>
        <w:t>органів місцевого самоврядування, підприємств, установ або організацій, що належать до сфери їх управління</w:t>
      </w:r>
      <w:r w:rsidRPr="00BC3E73">
        <w:rPr>
          <w:i/>
          <w:iCs/>
        </w:rPr>
        <w:t>.</w:t>
      </w:r>
      <w:r w:rsidRPr="00343D48">
        <w:t xml:space="preserve"> </w:t>
      </w:r>
      <w:r w:rsidR="008A310E">
        <w:t>При цьому необхідно враховувати</w:t>
      </w:r>
      <w:r w:rsidR="00224486">
        <w:t>:</w:t>
      </w:r>
      <w:r w:rsidR="008A310E">
        <w:t xml:space="preserve"> </w:t>
      </w:r>
      <w:r w:rsidR="00224486">
        <w:t xml:space="preserve">відповідно до Закону </w:t>
      </w:r>
      <w:r w:rsidR="008A310E">
        <w:t>«п</w:t>
      </w:r>
      <w:r w:rsidR="008A310E" w:rsidRPr="008A310E">
        <w:t>ерелік та вимоги до документів, необхідних для отримання адміністративної послуги, визначаються законом</w:t>
      </w:r>
      <w:r w:rsidR="008A310E">
        <w:t xml:space="preserve">». </w:t>
      </w:r>
      <w:r w:rsidRPr="00343D48">
        <w:t xml:space="preserve">Отже, якщо ЦНАП може отримати такі документи без участі суб’єкта звернення, він </w:t>
      </w:r>
      <w:r w:rsidR="00CE24FE">
        <w:t xml:space="preserve">має </w:t>
      </w:r>
      <w:r w:rsidRPr="00343D48">
        <w:t>повідом</w:t>
      </w:r>
      <w:r w:rsidR="00CE24FE">
        <w:t>ити</w:t>
      </w:r>
      <w:r w:rsidRPr="00343D48">
        <w:t xml:space="preserve"> відповідний СНАП</w:t>
      </w:r>
      <w:r w:rsidR="00CE24FE">
        <w:t xml:space="preserve"> про</w:t>
      </w:r>
      <w:r w:rsidRPr="00343D48">
        <w:t xml:space="preserve"> необхідн</w:t>
      </w:r>
      <w:r w:rsidR="00BC3E73">
        <w:t>ість</w:t>
      </w:r>
      <w:r w:rsidRPr="00343D48">
        <w:t xml:space="preserve"> уточнень в ІК щодо конкретного документа з переліку</w:t>
      </w:r>
      <w:r w:rsidR="00BC3E73">
        <w:t xml:space="preserve"> (</w:t>
      </w:r>
      <w:r w:rsidRPr="00343D48">
        <w:t>чітко ідентифіку</w:t>
      </w:r>
      <w:r w:rsidR="00BC3E73">
        <w:t>вати</w:t>
      </w:r>
      <w:r w:rsidRPr="00343D48">
        <w:t xml:space="preserve"> відсутність вимоги </w:t>
      </w:r>
      <w:r w:rsidR="00A179A8">
        <w:t xml:space="preserve">подання </w:t>
      </w:r>
      <w:r w:rsidRPr="00343D48">
        <w:t>так</w:t>
      </w:r>
      <w:r w:rsidR="00BC3E73">
        <w:t>ого</w:t>
      </w:r>
      <w:r w:rsidRPr="00343D48">
        <w:t xml:space="preserve"> документ</w:t>
      </w:r>
      <w:r w:rsidR="00BC3E73">
        <w:t>а</w:t>
      </w:r>
      <w:r w:rsidRPr="00343D48">
        <w:t xml:space="preserve"> суб’єкт</w:t>
      </w:r>
      <w:r w:rsidR="00A179A8">
        <w:t>ом</w:t>
      </w:r>
      <w:r w:rsidRPr="00343D48">
        <w:t xml:space="preserve"> звернення</w:t>
      </w:r>
      <w:r w:rsidR="00BC3E73">
        <w:t>)</w:t>
      </w:r>
      <w:r w:rsidR="0005281C">
        <w:t>.</w:t>
      </w:r>
    </w:p>
    <w:p w14:paraId="7CDE3B26" w14:textId="0FC566A1" w:rsidR="009363C9" w:rsidRPr="00530BA2" w:rsidRDefault="00A179A8" w:rsidP="00BC3E73">
      <w:pPr>
        <w:spacing w:after="0"/>
        <w:ind w:firstLine="567"/>
        <w:jc w:val="both"/>
      </w:pPr>
      <w:r>
        <w:t>На підставі</w:t>
      </w:r>
      <w:r w:rsidR="00343D48" w:rsidRPr="00343D48">
        <w:t xml:space="preserve"> </w:t>
      </w:r>
      <w:r>
        <w:t>цієї</w:t>
      </w:r>
      <w:r w:rsidR="00343D48" w:rsidRPr="00343D48">
        <w:t xml:space="preserve"> норм</w:t>
      </w:r>
      <w:r>
        <w:t>и</w:t>
      </w:r>
      <w:r w:rsidR="00343D48" w:rsidRPr="00343D48">
        <w:t xml:space="preserve"> </w:t>
      </w:r>
      <w:r>
        <w:t>З</w:t>
      </w:r>
      <w:r w:rsidR="00343D48" w:rsidRPr="00343D48">
        <w:t xml:space="preserve">акону щодо порядку надання послуг, відповідний СНАП </w:t>
      </w:r>
      <w:r>
        <w:t>за зверненням ОМС, що утворив ЦНАП,</w:t>
      </w:r>
      <w:r w:rsidR="00343D48" w:rsidRPr="00343D48">
        <w:t xml:space="preserve"> </w:t>
      </w:r>
      <w:r w:rsidR="00AC60A0">
        <w:t>має</w:t>
      </w:r>
      <w:r w:rsidR="00343D48" w:rsidRPr="00343D48">
        <w:t xml:space="preserve"> врахувати таку інформацію в ІК, </w:t>
      </w:r>
      <w:r w:rsidR="00BC3E73">
        <w:t>та,</w:t>
      </w:r>
      <w:r w:rsidR="00343D48" w:rsidRPr="00343D48">
        <w:t xml:space="preserve"> </w:t>
      </w:r>
      <w:r>
        <w:t>можливо</w:t>
      </w:r>
      <w:r w:rsidR="00BC3E73">
        <w:t>,</w:t>
      </w:r>
      <w:r>
        <w:t xml:space="preserve"> в</w:t>
      </w:r>
      <w:r w:rsidR="00343D48" w:rsidRPr="00343D48">
        <w:t xml:space="preserve"> ТК під час </w:t>
      </w:r>
      <w:r w:rsidR="00BC3E73">
        <w:t>визначення</w:t>
      </w:r>
      <w:r w:rsidR="00343D48" w:rsidRPr="00343D48">
        <w:t xml:space="preserve"> відповідних етапів надання послуги. </w:t>
      </w:r>
      <w:r w:rsidR="00B768FF">
        <w:t>Наприклад</w:t>
      </w:r>
      <w:r w:rsidR="00343D48" w:rsidRPr="00343D48">
        <w:t xml:space="preserve">, це може бути під час заповнення та затвердження ІК </w:t>
      </w:r>
      <w:r w:rsidR="00CE24FE">
        <w:t xml:space="preserve">та ТК </w:t>
      </w:r>
      <w:r w:rsidR="00343D48" w:rsidRPr="00343D48">
        <w:t xml:space="preserve">на послуги з </w:t>
      </w:r>
      <w:r w:rsidR="001A22B7">
        <w:t xml:space="preserve">оформлення і </w:t>
      </w:r>
      <w:r w:rsidR="00343D48" w:rsidRPr="00343D48">
        <w:t>видачі паспорт</w:t>
      </w:r>
      <w:r w:rsidR="001A22B7">
        <w:t>а</w:t>
      </w:r>
      <w:r w:rsidR="00343D48" w:rsidRPr="00343D48">
        <w:t xml:space="preserve"> громадянина України </w:t>
      </w:r>
      <w:r w:rsidR="001A22B7">
        <w:t>з безконтактним електронним носієм</w:t>
      </w:r>
      <w:r w:rsidR="00343D48" w:rsidRPr="00343D48">
        <w:t>, адже багато ЦНАП практикують самостійне</w:t>
      </w:r>
      <w:r w:rsidR="00CE24FE">
        <w:t>,</w:t>
      </w:r>
      <w:r w:rsidR="00343D48" w:rsidRPr="00343D48">
        <w:t xml:space="preserve"> без окремого звернення суб’єкта звернення, виготовлення довідок про реєстрацію місця проживання</w:t>
      </w:r>
      <w:r w:rsidR="00CE24FE">
        <w:t xml:space="preserve"> тощо</w:t>
      </w:r>
      <w:r w:rsidR="00343D48" w:rsidRPr="00343D48">
        <w:t>.</w:t>
      </w:r>
      <w:r w:rsidR="00343D48">
        <w:t xml:space="preserve"> </w:t>
      </w:r>
      <w:r w:rsidR="00CE24FE">
        <w:t xml:space="preserve">За наявності доступу до відповідних реєстрів та баз даних адміністратори </w:t>
      </w:r>
      <w:r w:rsidR="005729F0">
        <w:t xml:space="preserve">ЦНАП </w:t>
      </w:r>
      <w:r w:rsidR="00CE24FE">
        <w:t xml:space="preserve">самостійно можуть формувати </w:t>
      </w:r>
      <w:r w:rsidR="007A37A2">
        <w:t>й</w:t>
      </w:r>
      <w:r w:rsidR="00CE24FE">
        <w:t xml:space="preserve"> інші необхідні витяги, довідки</w:t>
      </w:r>
      <w:r w:rsidR="005729F0">
        <w:t>, копії</w:t>
      </w:r>
      <w:r w:rsidR="00CE24FE">
        <w:t xml:space="preserve"> </w:t>
      </w:r>
      <w:r w:rsidR="005729F0">
        <w:t>документів (виготовлення під час прийому відвідувача з оригіналу документа</w:t>
      </w:r>
      <w:r>
        <w:t>,</w:t>
      </w:r>
      <w:r w:rsidR="005729F0">
        <w:t xml:space="preserve"> особливо в ЦНАП невеликих та віддалених сільських та селищних громад) </w:t>
      </w:r>
      <w:r>
        <w:t>під</w:t>
      </w:r>
      <w:r w:rsidR="00CE24FE">
        <w:t xml:space="preserve"> </w:t>
      </w:r>
      <w:r>
        <w:t xml:space="preserve">час </w:t>
      </w:r>
      <w:r w:rsidR="00BC3E73">
        <w:t>подання</w:t>
      </w:r>
      <w:r w:rsidR="00CE24FE">
        <w:t xml:space="preserve"> </w:t>
      </w:r>
      <w:r w:rsidR="00BC3E73">
        <w:t xml:space="preserve">суб’єктом звернення </w:t>
      </w:r>
      <w:r w:rsidR="00CE24FE">
        <w:t xml:space="preserve">необхідного для СНАП пакету документів. </w:t>
      </w:r>
      <w:r w:rsidR="00530BA2">
        <w:t>Ці підходи також мали б бути враховані при ан</w:t>
      </w:r>
      <w:r w:rsidR="006509CB">
        <w:t>о</w:t>
      </w:r>
      <w:r w:rsidR="00530BA2">
        <w:t xml:space="preserve">нсованому входженні України у режим </w:t>
      </w:r>
      <w:r w:rsidR="00530BA2">
        <w:rPr>
          <w:lang w:val="en-US"/>
        </w:rPr>
        <w:t>paperless</w:t>
      </w:r>
      <w:r w:rsidR="0005281C">
        <w:rPr>
          <w:lang w:val="ru-RU"/>
        </w:rPr>
        <w:t>;</w:t>
      </w:r>
    </w:p>
    <w:p w14:paraId="7490097A" w14:textId="77777777" w:rsidR="00BC3E73" w:rsidRDefault="00343D48" w:rsidP="00FC14FB">
      <w:pPr>
        <w:pStyle w:val="a3"/>
        <w:spacing w:after="0"/>
        <w:ind w:left="0" w:firstLine="567"/>
        <w:jc w:val="both"/>
      </w:pPr>
      <w:r w:rsidRPr="00963353">
        <w:rPr>
          <w:b/>
        </w:rPr>
        <w:t>3</w:t>
      </w:r>
      <w:r w:rsidR="00B37F2C" w:rsidRPr="00963353">
        <w:rPr>
          <w:b/>
        </w:rPr>
        <w:t>)</w:t>
      </w:r>
      <w:r w:rsidR="00B37F2C" w:rsidRPr="00EB4162">
        <w:t xml:space="preserve"> платність або безоплатність адміністративної послуги, розмір </w:t>
      </w:r>
      <w:r w:rsidR="00B37F2C" w:rsidRPr="00492F02">
        <w:rPr>
          <w:i/>
          <w:iCs/>
        </w:rPr>
        <w:t>та порядок внесення плати (адміністративного збору) за платну адміністративну послугу</w:t>
      </w:r>
      <w:r w:rsidR="009363C9">
        <w:rPr>
          <w:i/>
          <w:iCs/>
        </w:rPr>
        <w:t>.</w:t>
      </w:r>
      <w:r w:rsidR="00D92437" w:rsidRPr="00D92437">
        <w:t xml:space="preserve"> </w:t>
      </w:r>
    </w:p>
    <w:p w14:paraId="54C88415" w14:textId="14719C0F" w:rsidR="00B37F2C" w:rsidRPr="00EB4162" w:rsidRDefault="009363C9" w:rsidP="00FC14FB">
      <w:pPr>
        <w:pStyle w:val="a3"/>
        <w:spacing w:after="0"/>
        <w:ind w:left="0" w:firstLine="567"/>
        <w:jc w:val="both"/>
        <w:rPr>
          <w:b/>
          <w:bCs/>
        </w:rPr>
      </w:pPr>
      <w:r>
        <w:t>Д</w:t>
      </w:r>
      <w:r w:rsidR="00D92437" w:rsidRPr="00EB4162">
        <w:t xml:space="preserve">ля платних адміністративних </w:t>
      </w:r>
      <w:r w:rsidR="00AC60A0">
        <w:t xml:space="preserve">послуг </w:t>
      </w:r>
      <w:r>
        <w:t xml:space="preserve">СНАП </w:t>
      </w:r>
      <w:r w:rsidR="00BC3E73">
        <w:t xml:space="preserve">має </w:t>
      </w:r>
      <w:r>
        <w:t>внес</w:t>
      </w:r>
      <w:r w:rsidR="00BC3E73">
        <w:t>ти</w:t>
      </w:r>
      <w:r>
        <w:t xml:space="preserve"> до ІК інформацію про </w:t>
      </w:r>
      <w:r w:rsidR="00D92437" w:rsidRPr="00EB4162">
        <w:t xml:space="preserve">відповідні банківські реквізити для сплати за такі послуги </w:t>
      </w:r>
      <w:r w:rsidR="00BC3E73">
        <w:t>і</w:t>
      </w:r>
      <w:r w:rsidR="00D92437">
        <w:t xml:space="preserve"> навіть </w:t>
      </w:r>
      <w:r w:rsidR="00D92437" w:rsidRPr="00EB4162">
        <w:t>можливі способи оплати</w:t>
      </w:r>
      <w:r w:rsidR="00D92437">
        <w:t xml:space="preserve"> (готівкові/безготівкові), насамперед</w:t>
      </w:r>
      <w:r w:rsidR="00D92437" w:rsidRPr="00EB4162">
        <w:t xml:space="preserve"> у приміщенні ЦНАП</w:t>
      </w:r>
      <w:r w:rsidR="00D92437">
        <w:t xml:space="preserve">, його терпідрозділах </w:t>
      </w:r>
      <w:r w:rsidR="005729F0">
        <w:t>та/або</w:t>
      </w:r>
      <w:r w:rsidR="00D92437">
        <w:t xml:space="preserve"> ВРМ</w:t>
      </w:r>
      <w:r w:rsidR="00BC3E73">
        <w:t>, якщо ЦНАП надає таку інформацію</w:t>
      </w:r>
      <w:r w:rsidR="0005281C">
        <w:t>;</w:t>
      </w:r>
      <w:r w:rsidR="00BC3E73">
        <w:t xml:space="preserve"> </w:t>
      </w:r>
    </w:p>
    <w:p w14:paraId="2B7FEFB9" w14:textId="77777777" w:rsidR="00B768FF" w:rsidRDefault="00343D48" w:rsidP="00FC14FB">
      <w:pPr>
        <w:pStyle w:val="a3"/>
        <w:spacing w:after="0"/>
        <w:ind w:left="0" w:firstLine="567"/>
        <w:jc w:val="both"/>
      </w:pPr>
      <w:r w:rsidRPr="00963353">
        <w:rPr>
          <w:b/>
        </w:rPr>
        <w:t>4</w:t>
      </w:r>
      <w:r w:rsidR="00B37F2C" w:rsidRPr="00EB4162">
        <w:rPr>
          <w:b/>
          <w:bCs/>
        </w:rPr>
        <w:t xml:space="preserve">) </w:t>
      </w:r>
      <w:r w:rsidR="00B37F2C" w:rsidRPr="00492F02">
        <w:rPr>
          <w:i/>
          <w:iCs/>
        </w:rPr>
        <w:t>можливі способи отримання відповіді (результату)</w:t>
      </w:r>
      <w:r w:rsidR="007A778D">
        <w:rPr>
          <w:i/>
          <w:iCs/>
        </w:rPr>
        <w:t xml:space="preserve">. Типова ІК зазвичай передбачає основні «опції» - особисто, поштою тощо. Разом з тим, </w:t>
      </w:r>
      <w:r w:rsidR="00E732C6">
        <w:rPr>
          <w:i/>
          <w:iCs/>
        </w:rPr>
        <w:t>ч</w:t>
      </w:r>
      <w:r w:rsidR="00E732C6" w:rsidRPr="00E732C6">
        <w:rPr>
          <w:i/>
          <w:iCs/>
        </w:rPr>
        <w:t xml:space="preserve">астина 5 статті 10 </w:t>
      </w:r>
      <w:r w:rsidR="00E732C6">
        <w:rPr>
          <w:i/>
          <w:iCs/>
        </w:rPr>
        <w:t>Закону</w:t>
      </w:r>
      <w:r w:rsidR="007A778D">
        <w:rPr>
          <w:i/>
          <w:iCs/>
        </w:rPr>
        <w:t xml:space="preserve"> </w:t>
      </w:r>
      <w:r>
        <w:rPr>
          <w:i/>
          <w:iCs/>
        </w:rPr>
        <w:t>визначає, що</w:t>
      </w:r>
      <w:r w:rsidR="007A778D" w:rsidRPr="007A778D">
        <w:rPr>
          <w:i/>
          <w:iCs/>
        </w:rPr>
        <w:t xml:space="preserve"> </w:t>
      </w:r>
      <w:r w:rsidRPr="00343D48">
        <w:t xml:space="preserve">відповідний документ </w:t>
      </w:r>
      <w:r>
        <w:t>у</w:t>
      </w:r>
      <w:r w:rsidRPr="00343D48">
        <w:t xml:space="preserve"> випадках, передбачених законодавством, може бути надісланий </w:t>
      </w:r>
      <w:r w:rsidRPr="00963353">
        <w:rPr>
          <w:bCs/>
          <w:i/>
        </w:rPr>
        <w:t>за бажанням суб’єкта звернення, кур’єром за додаткову плату,</w:t>
      </w:r>
      <w:r w:rsidRPr="00343D48">
        <w:t xml:space="preserve"> або за допомогою засобів телекомунікаційного </w:t>
      </w:r>
      <w:r w:rsidRPr="00343D48">
        <w:lastRenderedPageBreak/>
        <w:t>зв’язку.</w:t>
      </w:r>
      <w:r w:rsidR="007A778D">
        <w:t xml:space="preserve"> Якщо відповідний ЦНАП реалізував </w:t>
      </w:r>
      <w:r w:rsidR="00BC3E73">
        <w:t>ці та інші можливості</w:t>
      </w:r>
      <w:r w:rsidR="007A778D">
        <w:t xml:space="preserve">, така інформація за пропозицією ЦНАП має також бути внесена до ІК.  </w:t>
      </w:r>
    </w:p>
    <w:p w14:paraId="661C5ABB" w14:textId="5738FAF7" w:rsidR="00B37F2C" w:rsidRPr="00492F02" w:rsidRDefault="003727BA" w:rsidP="00FC14FB">
      <w:pPr>
        <w:pStyle w:val="a3"/>
        <w:spacing w:after="0"/>
        <w:ind w:left="0" w:firstLine="567"/>
        <w:jc w:val="both"/>
        <w:rPr>
          <w:i/>
          <w:iCs/>
        </w:rPr>
      </w:pPr>
      <w:r>
        <w:t xml:space="preserve">Крім того, </w:t>
      </w:r>
      <w:r w:rsidR="00BC3E73">
        <w:t>кожен</w:t>
      </w:r>
      <w:r>
        <w:t xml:space="preserve"> ЦНАП визнач</w:t>
      </w:r>
      <w:r w:rsidR="00BC3E73">
        <w:t>ає власний</w:t>
      </w:r>
      <w:r>
        <w:t xml:space="preserve"> </w:t>
      </w:r>
      <w:r w:rsidRPr="003727BA">
        <w:t xml:space="preserve">спосіб повідомлення </w:t>
      </w:r>
      <w:r w:rsidR="00BC3E73">
        <w:t xml:space="preserve">суб’єкта звернення </w:t>
      </w:r>
      <w:r w:rsidRPr="003727BA">
        <w:t>про готовий результат послуги – смс-інформування, через особистий електронний кабінет тощо.</w:t>
      </w:r>
    </w:p>
    <w:p w14:paraId="68D19F8F" w14:textId="77777777" w:rsidR="00E732C6" w:rsidRPr="00963353" w:rsidRDefault="00E732C6" w:rsidP="00FC14FB">
      <w:pPr>
        <w:pStyle w:val="a3"/>
        <w:spacing w:after="0"/>
        <w:ind w:left="0" w:firstLine="567"/>
        <w:jc w:val="both"/>
        <w:rPr>
          <w:b/>
          <w:bCs/>
          <w:sz w:val="16"/>
          <w:szCs w:val="16"/>
        </w:rPr>
      </w:pPr>
    </w:p>
    <w:p w14:paraId="4CE312CE" w14:textId="00440311" w:rsidR="00DD2120" w:rsidRDefault="00DD2120" w:rsidP="00DD2120">
      <w:pPr>
        <w:pStyle w:val="a3"/>
        <w:spacing w:after="0"/>
        <w:ind w:left="0" w:firstLine="567"/>
        <w:jc w:val="both"/>
        <w:rPr>
          <w:b/>
          <w:bCs/>
        </w:rPr>
      </w:pPr>
      <w:r>
        <w:t>Відповідно до частини 5 статті 9 Закону ТК</w:t>
      </w:r>
      <w:r w:rsidRPr="001A22B7">
        <w:t xml:space="preserve"> адміністративної послуги містить інформацію </w:t>
      </w:r>
      <w:r w:rsidRPr="0004504B">
        <w:rPr>
          <w:b/>
          <w:bCs/>
          <w:i/>
          <w:iCs/>
        </w:rPr>
        <w:t>про порядок надання адміністративної послуги.</w:t>
      </w:r>
      <w:r>
        <w:rPr>
          <w:b/>
          <w:bCs/>
        </w:rPr>
        <w:t xml:space="preserve"> </w:t>
      </w:r>
      <w:r w:rsidRPr="001A22B7">
        <w:t>Вище вже зазначалося, що</w:t>
      </w:r>
      <w:r>
        <w:rPr>
          <w:b/>
          <w:bCs/>
        </w:rPr>
        <w:t xml:space="preserve"> </w:t>
      </w:r>
      <w:r w:rsidRPr="001A22B7">
        <w:t>відповідно до статті 9 Закону</w:t>
      </w:r>
      <w:r>
        <w:rPr>
          <w:b/>
          <w:bCs/>
        </w:rPr>
        <w:t xml:space="preserve"> </w:t>
      </w:r>
      <w:r w:rsidRPr="00923124">
        <w:t>порядок надання адмінпослуги через ЦНАП, містить дві невід’ємні складові – ЦНАП як фронт-офіс та СНАП як бек-офіс.</w:t>
      </w:r>
      <w:r>
        <w:rPr>
          <w:b/>
          <w:bCs/>
        </w:rPr>
        <w:t xml:space="preserve"> </w:t>
      </w:r>
    </w:p>
    <w:p w14:paraId="3E554B38" w14:textId="5CEA5518" w:rsidR="00DD2120" w:rsidRDefault="00DD2120" w:rsidP="00DD2120">
      <w:pPr>
        <w:spacing w:after="0"/>
        <w:ind w:firstLine="567"/>
        <w:jc w:val="both"/>
        <w:rPr>
          <w:b/>
          <w:bCs/>
        </w:rPr>
      </w:pPr>
      <w:r w:rsidRPr="00726400">
        <w:t xml:space="preserve">У </w:t>
      </w:r>
      <w:r>
        <w:t>ТК</w:t>
      </w:r>
      <w:r w:rsidRPr="00726400">
        <w:t xml:space="preserve">, серед іншого, </w:t>
      </w:r>
      <w:r w:rsidRPr="0004504B">
        <w:t xml:space="preserve">зазначаються </w:t>
      </w:r>
      <w:r w:rsidRPr="00DC3CE2">
        <w:rPr>
          <w:i/>
          <w:iCs/>
        </w:rPr>
        <w:t>етапи опрацювання звернення</w:t>
      </w:r>
      <w:r w:rsidRPr="00726400">
        <w:t xml:space="preserve"> про надання адміністративної послуги</w:t>
      </w:r>
      <w:r>
        <w:t xml:space="preserve">, які </w:t>
      </w:r>
      <w:r w:rsidRPr="00726400">
        <w:t xml:space="preserve">включають: </w:t>
      </w:r>
      <w:r w:rsidRPr="00726400">
        <w:rPr>
          <w:i/>
          <w:iCs/>
        </w:rPr>
        <w:t>1) реєстрацію (оформлення) звернення суб’єкта звернення (</w:t>
      </w:r>
      <w:r>
        <w:rPr>
          <w:i/>
          <w:iCs/>
        </w:rPr>
        <w:t>повноваження</w:t>
      </w:r>
      <w:r w:rsidRPr="00726400">
        <w:rPr>
          <w:i/>
          <w:iCs/>
        </w:rPr>
        <w:t xml:space="preserve"> ЦНАП)</w:t>
      </w:r>
      <w:r w:rsidRPr="00726400">
        <w:t xml:space="preserve">; 2) </w:t>
      </w:r>
      <w:r w:rsidRPr="00726400">
        <w:rPr>
          <w:i/>
          <w:iCs/>
        </w:rPr>
        <w:t>опрацювання звернення та оформлення (погодження) результату</w:t>
      </w:r>
      <w:r w:rsidRPr="00726400">
        <w:t xml:space="preserve"> надання адміністративної послуги структурними підрозділами та посадовими особами </w:t>
      </w:r>
      <w:r>
        <w:t>СНАП</w:t>
      </w:r>
      <w:r w:rsidRPr="00726400">
        <w:t xml:space="preserve">, </w:t>
      </w:r>
      <w:r w:rsidRPr="00726400">
        <w:rPr>
          <w:i/>
          <w:iCs/>
        </w:rPr>
        <w:t xml:space="preserve">зокрема шляхом взаємодії </w:t>
      </w:r>
      <w:r w:rsidRPr="00DC3CE2">
        <w:t xml:space="preserve">структурних підрозділів </w:t>
      </w:r>
      <w:r>
        <w:t>СНАП</w:t>
      </w:r>
      <w:r w:rsidRPr="00DC3CE2">
        <w:t>,</w:t>
      </w:r>
      <w:r w:rsidRPr="00726400">
        <w:t xml:space="preserve"> суб’єкта надання адміністративної послуги з іншими органами для отримання документів, інформації, рішень, відповідей, необхідних для надання адміністративної послуги, а </w:t>
      </w:r>
      <w:r w:rsidRPr="000B1256">
        <w:rPr>
          <w:i/>
          <w:iCs/>
        </w:rPr>
        <w:t xml:space="preserve">також </w:t>
      </w:r>
      <w:r w:rsidRPr="00726400">
        <w:rPr>
          <w:i/>
          <w:iCs/>
        </w:rPr>
        <w:t xml:space="preserve">з адміністраторами </w:t>
      </w:r>
      <w:r w:rsidR="00F0791E">
        <w:rPr>
          <w:i/>
          <w:iCs/>
        </w:rPr>
        <w:t>–</w:t>
      </w:r>
      <w:r w:rsidRPr="00726400">
        <w:rPr>
          <w:i/>
          <w:iCs/>
        </w:rPr>
        <w:t xml:space="preserve"> під час надання адміністративної послуги через </w:t>
      </w:r>
      <w:r>
        <w:rPr>
          <w:i/>
          <w:iCs/>
        </w:rPr>
        <w:t>ЦНАП</w:t>
      </w:r>
      <w:r w:rsidRPr="00726400">
        <w:rPr>
          <w:i/>
          <w:iCs/>
        </w:rPr>
        <w:t>,</w:t>
      </w:r>
      <w:r w:rsidRPr="00726400">
        <w:t xml:space="preserve"> із зазначенням граничних строків проведення таких дій;</w:t>
      </w:r>
      <w:r>
        <w:t xml:space="preserve"> </w:t>
      </w:r>
      <w:r w:rsidRPr="00726400">
        <w:rPr>
          <w:i/>
          <w:iCs/>
        </w:rPr>
        <w:t>3) видачу результату надання адміністративної послуги та його реєстрацію (</w:t>
      </w:r>
      <w:r>
        <w:rPr>
          <w:i/>
          <w:iCs/>
        </w:rPr>
        <w:t>повноваження</w:t>
      </w:r>
      <w:r w:rsidRPr="00726400">
        <w:rPr>
          <w:i/>
          <w:iCs/>
        </w:rPr>
        <w:t xml:space="preserve"> ЦНАП)</w:t>
      </w:r>
      <w:r w:rsidRPr="00923124">
        <w:rPr>
          <w:b/>
          <w:bCs/>
        </w:rPr>
        <w:t>.</w:t>
      </w:r>
    </w:p>
    <w:p w14:paraId="746DC73D" w14:textId="663C15FE" w:rsidR="00E732C6" w:rsidRDefault="002425BB" w:rsidP="002A056C">
      <w:pPr>
        <w:pStyle w:val="a3"/>
        <w:spacing w:after="0"/>
        <w:ind w:left="0" w:firstLine="567"/>
        <w:jc w:val="both"/>
      </w:pPr>
      <w:r>
        <w:rPr>
          <w:bCs/>
        </w:rPr>
        <w:t>Потреба</w:t>
      </w:r>
      <w:r w:rsidR="00E732C6" w:rsidRPr="00E732C6">
        <w:t xml:space="preserve"> узгодження змісту ТК між СНАП та ЦНАП є ще більш очевидною</w:t>
      </w:r>
      <w:r w:rsidR="00C2125F">
        <w:t xml:space="preserve">, ніж </w:t>
      </w:r>
      <w:r w:rsidR="00BC3E73">
        <w:t xml:space="preserve">навіть </w:t>
      </w:r>
      <w:r w:rsidR="00C2125F">
        <w:t>щодо ІК</w:t>
      </w:r>
      <w:r w:rsidR="00E732C6" w:rsidRPr="00E732C6">
        <w:t xml:space="preserve">. </w:t>
      </w:r>
      <w:r w:rsidR="002A056C" w:rsidRPr="00963353">
        <w:rPr>
          <w:b/>
          <w:i/>
        </w:rPr>
        <w:t>П</w:t>
      </w:r>
      <w:r w:rsidR="00183D3D" w:rsidRPr="00BC3E73">
        <w:rPr>
          <w:b/>
          <w:bCs/>
          <w:i/>
          <w:iCs/>
        </w:rPr>
        <w:t>рямо випливає з норм Закону</w:t>
      </w:r>
      <w:r w:rsidR="00E732C6" w:rsidRPr="00BC3E73">
        <w:rPr>
          <w:b/>
          <w:bCs/>
          <w:i/>
          <w:iCs/>
        </w:rPr>
        <w:t xml:space="preserve"> узгодження всіх етапів </w:t>
      </w:r>
      <w:r w:rsidR="00183D3D" w:rsidRPr="00BC3E73">
        <w:rPr>
          <w:b/>
          <w:bCs/>
          <w:i/>
          <w:iCs/>
        </w:rPr>
        <w:t xml:space="preserve">та процесів </w:t>
      </w:r>
      <w:r w:rsidR="00E732C6" w:rsidRPr="00BC3E73">
        <w:rPr>
          <w:b/>
          <w:bCs/>
          <w:i/>
          <w:iCs/>
        </w:rPr>
        <w:t>надання послуги між СНАП та ЦНАП</w:t>
      </w:r>
      <w:r w:rsidR="00183D3D" w:rsidRPr="00BC3E73">
        <w:rPr>
          <w:b/>
          <w:bCs/>
          <w:i/>
          <w:iCs/>
        </w:rPr>
        <w:t xml:space="preserve"> згідно з вимогами до формування ТК, що визначені </w:t>
      </w:r>
      <w:r w:rsidR="00C2125F" w:rsidRPr="00BC3E73">
        <w:rPr>
          <w:b/>
          <w:bCs/>
          <w:i/>
          <w:iCs/>
        </w:rPr>
        <w:t xml:space="preserve">Законом та </w:t>
      </w:r>
      <w:r w:rsidR="00183D3D" w:rsidRPr="00BC3E73">
        <w:rPr>
          <w:b/>
          <w:bCs/>
          <w:i/>
          <w:iCs/>
        </w:rPr>
        <w:t>Урядом.</w:t>
      </w:r>
    </w:p>
    <w:p w14:paraId="29834127" w14:textId="60EB7C52" w:rsidR="00E732C6" w:rsidRPr="00DD2120" w:rsidRDefault="00C2125F" w:rsidP="00FC14FB">
      <w:pPr>
        <w:pStyle w:val="a3"/>
        <w:spacing w:after="0"/>
        <w:ind w:left="0" w:firstLine="567"/>
        <w:jc w:val="both"/>
      </w:pPr>
      <w:r>
        <w:t xml:space="preserve">Підходи </w:t>
      </w:r>
      <w:r w:rsidR="0004504B">
        <w:t>та</w:t>
      </w:r>
      <w:r>
        <w:t xml:space="preserve"> практика</w:t>
      </w:r>
      <w:r w:rsidR="00183D3D">
        <w:t xml:space="preserve"> ЦОВВ </w:t>
      </w:r>
      <w:r>
        <w:t xml:space="preserve">у питанні </w:t>
      </w:r>
      <w:r w:rsidR="00965EDD">
        <w:t xml:space="preserve">ТК </w:t>
      </w:r>
      <w:r>
        <w:t>різна</w:t>
      </w:r>
      <w:r w:rsidR="00183D3D">
        <w:t xml:space="preserve">. </w:t>
      </w:r>
      <w:r w:rsidR="00E732C6">
        <w:t xml:space="preserve">До прикладу, </w:t>
      </w:r>
      <w:r w:rsidR="00183D3D" w:rsidRPr="0004504B">
        <w:rPr>
          <w:b/>
          <w:bCs/>
          <w:i/>
          <w:iCs/>
        </w:rPr>
        <w:t>типові ТК</w:t>
      </w:r>
      <w:r w:rsidR="00183D3D">
        <w:t xml:space="preserve"> затверджено на послуги Держгеокадастру, </w:t>
      </w:r>
      <w:r w:rsidR="00E732C6">
        <w:t xml:space="preserve">ДМС відповідними наказами затвердила </w:t>
      </w:r>
      <w:r w:rsidR="00E732C6" w:rsidRPr="0004504B">
        <w:rPr>
          <w:b/>
          <w:bCs/>
          <w:i/>
          <w:iCs/>
        </w:rPr>
        <w:t>зразки ТК</w:t>
      </w:r>
      <w:r w:rsidR="00E732C6">
        <w:t xml:space="preserve">, Мінсоцполітики та Мін’юст </w:t>
      </w:r>
      <w:r w:rsidR="00E732C6" w:rsidRPr="0004504B">
        <w:rPr>
          <w:b/>
          <w:bCs/>
          <w:i/>
          <w:iCs/>
        </w:rPr>
        <w:t>не затверджували</w:t>
      </w:r>
      <w:r w:rsidR="00183D3D" w:rsidRPr="0004504B">
        <w:rPr>
          <w:b/>
          <w:bCs/>
          <w:i/>
          <w:iCs/>
        </w:rPr>
        <w:t xml:space="preserve"> навіть зразків</w:t>
      </w:r>
      <w:r w:rsidR="00E732C6">
        <w:t xml:space="preserve">. </w:t>
      </w:r>
      <w:r w:rsidR="00183D3D">
        <w:t xml:space="preserve">У </w:t>
      </w:r>
      <w:r>
        <w:t>будь-якому випадку,</w:t>
      </w:r>
      <w:r w:rsidR="00183D3D">
        <w:t xml:space="preserve"> затверджені типові чи зразки ТК є дуже суттєвим </w:t>
      </w:r>
      <w:r w:rsidR="000B1256">
        <w:t>допоміжним джерелом інформації</w:t>
      </w:r>
      <w:r w:rsidR="00183D3D">
        <w:t xml:space="preserve"> для </w:t>
      </w:r>
      <w:r>
        <w:t xml:space="preserve">розроблення та </w:t>
      </w:r>
      <w:r w:rsidR="00183D3D">
        <w:t xml:space="preserve">затвердження </w:t>
      </w:r>
      <w:r w:rsidR="000B1256">
        <w:t>ТК</w:t>
      </w:r>
      <w:r w:rsidR="00183D3D">
        <w:t xml:space="preserve"> </w:t>
      </w:r>
      <w:r w:rsidR="000B1256">
        <w:t>на кожну адміністративну послугу відповідним СНАП</w:t>
      </w:r>
      <w:r w:rsidR="00183D3D">
        <w:t xml:space="preserve">. </w:t>
      </w:r>
      <w:r w:rsidR="00965EDD" w:rsidRPr="00963353">
        <w:rPr>
          <w:bCs/>
          <w:i/>
          <w:iCs/>
        </w:rPr>
        <w:t>Та у будь-якому разі,</w:t>
      </w:r>
      <w:r w:rsidR="00183D3D" w:rsidRPr="00963353">
        <w:rPr>
          <w:bCs/>
          <w:i/>
          <w:iCs/>
        </w:rPr>
        <w:t xml:space="preserve"> такі затверджені відповідними ЦОВВ ТК (типові, зразки тощо) мають рекомендаційний характер.</w:t>
      </w:r>
      <w:r w:rsidR="00183D3D" w:rsidRPr="00DD2120">
        <w:t xml:space="preserve"> </w:t>
      </w:r>
    </w:p>
    <w:p w14:paraId="08A4FDCE" w14:textId="243787AD" w:rsidR="00C2125F" w:rsidRPr="005725F2" w:rsidRDefault="00965EDD" w:rsidP="00C2125F">
      <w:pPr>
        <w:pStyle w:val="a3"/>
        <w:spacing w:after="0"/>
        <w:ind w:left="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="00C2125F" w:rsidRPr="005725F2">
        <w:rPr>
          <w:b/>
          <w:bCs/>
          <w:i/>
          <w:iCs/>
        </w:rPr>
        <w:t xml:space="preserve">ід час заповнення та затвердження СНАП ІК на підставі типових, </w:t>
      </w:r>
      <w:r w:rsidR="00C2125F">
        <w:rPr>
          <w:b/>
          <w:bCs/>
          <w:i/>
          <w:iCs/>
        </w:rPr>
        <w:t>а також розроблення та затвердження ТК</w:t>
      </w:r>
      <w:r w:rsidR="00DC3CE2">
        <w:rPr>
          <w:b/>
          <w:bCs/>
          <w:i/>
          <w:iCs/>
        </w:rPr>
        <w:t xml:space="preserve"> (в тому числі на підставі типових чи зразків)</w:t>
      </w:r>
      <w:r w:rsidR="00C2125F">
        <w:rPr>
          <w:b/>
          <w:bCs/>
          <w:i/>
          <w:iCs/>
        </w:rPr>
        <w:t xml:space="preserve">, </w:t>
      </w:r>
      <w:r w:rsidR="00C2125F" w:rsidRPr="005725F2">
        <w:rPr>
          <w:b/>
          <w:bCs/>
          <w:i/>
          <w:iCs/>
        </w:rPr>
        <w:t xml:space="preserve">ОМС, який утворив ЦНАП, </w:t>
      </w:r>
      <w:r w:rsidR="00C2125F">
        <w:rPr>
          <w:b/>
          <w:bCs/>
          <w:i/>
          <w:iCs/>
        </w:rPr>
        <w:t>відповідно до</w:t>
      </w:r>
      <w:r w:rsidR="00C2125F" w:rsidRPr="005725F2">
        <w:rPr>
          <w:b/>
          <w:bCs/>
          <w:i/>
          <w:iCs/>
        </w:rPr>
        <w:t xml:space="preserve"> делегованого</w:t>
      </w:r>
      <w:r w:rsidR="00C2125F">
        <w:rPr>
          <w:b/>
          <w:bCs/>
          <w:i/>
          <w:iCs/>
        </w:rPr>
        <w:t xml:space="preserve"> державою</w:t>
      </w:r>
      <w:r w:rsidR="00C2125F" w:rsidRPr="005725F2">
        <w:rPr>
          <w:b/>
          <w:bCs/>
          <w:i/>
          <w:iCs/>
        </w:rPr>
        <w:t xml:space="preserve"> повноваження щодо організації надання адміністративних послуг ОВВ через ЦНАП має право зворотної вимоги/пропозиції до СНАП для врахування </w:t>
      </w:r>
      <w:r w:rsidR="00C2125F">
        <w:rPr>
          <w:b/>
          <w:bCs/>
          <w:i/>
          <w:iCs/>
        </w:rPr>
        <w:t>і іншої</w:t>
      </w:r>
      <w:r w:rsidR="00C2125F" w:rsidRPr="005725F2">
        <w:rPr>
          <w:b/>
          <w:bCs/>
          <w:i/>
          <w:iCs/>
        </w:rPr>
        <w:t xml:space="preserve"> інформації в ІК та ТК</w:t>
      </w:r>
      <w:r w:rsidR="00C2125F">
        <w:rPr>
          <w:b/>
          <w:bCs/>
          <w:i/>
          <w:iCs/>
        </w:rPr>
        <w:t>, що прямо випливає із визначеного законом порядку надання адміністративних послуг</w:t>
      </w:r>
      <w:r w:rsidR="00C2125F" w:rsidRPr="005725F2">
        <w:rPr>
          <w:b/>
          <w:bCs/>
          <w:i/>
          <w:iCs/>
        </w:rPr>
        <w:t xml:space="preserve">.  </w:t>
      </w:r>
    </w:p>
    <w:p w14:paraId="3CA98D5F" w14:textId="77777777" w:rsidR="00C2125F" w:rsidRPr="00963353" w:rsidRDefault="00C2125F" w:rsidP="00FC14FB">
      <w:pPr>
        <w:pStyle w:val="a3"/>
        <w:spacing w:after="0"/>
        <w:ind w:left="0" w:firstLine="567"/>
        <w:jc w:val="both"/>
        <w:rPr>
          <w:b/>
          <w:bCs/>
          <w:sz w:val="16"/>
          <w:szCs w:val="16"/>
        </w:rPr>
      </w:pPr>
    </w:p>
    <w:p w14:paraId="38E3F6D9" w14:textId="77777777" w:rsidR="00F9003C" w:rsidRDefault="00AB4602" w:rsidP="00961589">
      <w:pPr>
        <w:pStyle w:val="a3"/>
        <w:spacing w:after="0"/>
        <w:ind w:left="0" w:firstLine="567"/>
        <w:jc w:val="both"/>
      </w:pPr>
      <w:r w:rsidRPr="0004504B">
        <w:rPr>
          <w:b/>
          <w:bCs/>
          <w:i/>
          <w:iCs/>
        </w:rPr>
        <w:t>У</w:t>
      </w:r>
      <w:r w:rsidR="00B36E98" w:rsidRPr="0004504B">
        <w:rPr>
          <w:b/>
          <w:bCs/>
          <w:i/>
          <w:iCs/>
        </w:rPr>
        <w:t xml:space="preserve">мова </w:t>
      </w:r>
      <w:r w:rsidR="00B52FA2">
        <w:rPr>
          <w:b/>
          <w:bCs/>
          <w:i/>
          <w:iCs/>
        </w:rPr>
        <w:t>формального «</w:t>
      </w:r>
      <w:r w:rsidRPr="0004504B">
        <w:rPr>
          <w:b/>
          <w:bCs/>
          <w:i/>
          <w:iCs/>
        </w:rPr>
        <w:t>погодження</w:t>
      </w:r>
      <w:r w:rsidR="00B52FA2">
        <w:rPr>
          <w:b/>
          <w:bCs/>
          <w:i/>
          <w:iCs/>
        </w:rPr>
        <w:t>»</w:t>
      </w:r>
      <w:r w:rsidRPr="0004504B">
        <w:rPr>
          <w:b/>
          <w:bCs/>
          <w:i/>
          <w:iCs/>
        </w:rPr>
        <w:t xml:space="preserve"> </w:t>
      </w:r>
      <w:r w:rsidR="00B36E98" w:rsidRPr="0004504B">
        <w:rPr>
          <w:b/>
          <w:bCs/>
          <w:i/>
          <w:iCs/>
        </w:rPr>
        <w:t>карт</w:t>
      </w:r>
      <w:r w:rsidRPr="0004504B">
        <w:rPr>
          <w:b/>
          <w:bCs/>
          <w:i/>
          <w:iCs/>
        </w:rPr>
        <w:t>ок</w:t>
      </w:r>
      <w:r w:rsidR="00B36E98" w:rsidRPr="0004504B">
        <w:rPr>
          <w:b/>
          <w:bCs/>
          <w:i/>
          <w:iCs/>
        </w:rPr>
        <w:t xml:space="preserve"> не </w:t>
      </w:r>
      <w:r w:rsidRPr="0004504B">
        <w:rPr>
          <w:b/>
          <w:bCs/>
          <w:i/>
          <w:iCs/>
        </w:rPr>
        <w:t xml:space="preserve">є </w:t>
      </w:r>
      <w:r w:rsidR="00B36E98" w:rsidRPr="0004504B">
        <w:rPr>
          <w:b/>
          <w:bCs/>
          <w:i/>
          <w:iCs/>
        </w:rPr>
        <w:t>обов’язковою</w:t>
      </w:r>
      <w:r w:rsidR="00F9003C">
        <w:rPr>
          <w:b/>
          <w:bCs/>
          <w:i/>
          <w:iCs/>
        </w:rPr>
        <w:t>, але</w:t>
      </w:r>
      <w:r w:rsidR="00B36E98" w:rsidRPr="0004504B">
        <w:rPr>
          <w:b/>
          <w:bCs/>
          <w:i/>
          <w:iCs/>
        </w:rPr>
        <w:t xml:space="preserve"> може бути елементом взаємно узгоджено</w:t>
      </w:r>
      <w:r w:rsidR="004747C6" w:rsidRPr="0004504B">
        <w:rPr>
          <w:b/>
          <w:bCs/>
          <w:i/>
          <w:iCs/>
        </w:rPr>
        <w:t>ї</w:t>
      </w:r>
      <w:r w:rsidR="00B36E98" w:rsidRPr="0004504B">
        <w:rPr>
          <w:b/>
          <w:bCs/>
          <w:i/>
          <w:iCs/>
        </w:rPr>
        <w:t xml:space="preserve"> процедури затвердження карток між сторонами.</w:t>
      </w:r>
      <w:r w:rsidR="00B36E98" w:rsidRPr="00EB4162">
        <w:t xml:space="preserve"> </w:t>
      </w:r>
    </w:p>
    <w:p w14:paraId="77EA1E55" w14:textId="3EB82158" w:rsidR="00961589" w:rsidRPr="00EB4162" w:rsidRDefault="0004504B" w:rsidP="00961589">
      <w:pPr>
        <w:pStyle w:val="a3"/>
        <w:spacing w:after="0"/>
        <w:ind w:left="0" w:firstLine="567"/>
        <w:jc w:val="both"/>
      </w:pPr>
      <w:r>
        <w:t>З</w:t>
      </w:r>
      <w:r w:rsidRPr="00EB4162">
        <w:t xml:space="preserve"> практи</w:t>
      </w:r>
      <w:r>
        <w:t>ки</w:t>
      </w:r>
      <w:r w:rsidRPr="00EB4162">
        <w:t xml:space="preserve"> </w:t>
      </w:r>
      <w:r>
        <w:t>ф</w:t>
      </w:r>
      <w:r w:rsidR="00961589" w:rsidRPr="00EB4162">
        <w:t xml:space="preserve">ормою погодження ІК та ТК </w:t>
      </w:r>
      <w:r>
        <w:t>може бути</w:t>
      </w:r>
      <w:r w:rsidR="00961589" w:rsidRPr="00EB4162">
        <w:t xml:space="preserve"> рішення місцевої ради, виконавчого комітету, гриф «Погоджено» з датою та підписом місцевого голови</w:t>
      </w:r>
      <w:r w:rsidR="00C2125F">
        <w:t>.</w:t>
      </w:r>
      <w:r w:rsidR="00961589" w:rsidRPr="00EB4162">
        <w:t xml:space="preserve"> </w:t>
      </w:r>
      <w:r w:rsidR="00C2125F">
        <w:t>М</w:t>
      </w:r>
      <w:r w:rsidR="00961589" w:rsidRPr="00EB4162">
        <w:t xml:space="preserve">оже бути допустимою і така форма як візування відповідних проектів карток керівником ЦНАП тощо. </w:t>
      </w:r>
      <w:r w:rsidR="00961589">
        <w:t xml:space="preserve">Власне, визначення способу/форми такого погодження – це внутрішня компетенція ОМС за попереднім узгодженням з відповідним СНАП. </w:t>
      </w:r>
    </w:p>
    <w:p w14:paraId="6B9AA507" w14:textId="77777777" w:rsidR="00C2125F" w:rsidRDefault="00C2125F" w:rsidP="00C2125F">
      <w:pPr>
        <w:pStyle w:val="a3"/>
        <w:spacing w:after="0"/>
        <w:ind w:left="0" w:firstLine="567"/>
        <w:jc w:val="both"/>
        <w:rPr>
          <w:b/>
          <w:bCs/>
        </w:rPr>
      </w:pPr>
    </w:p>
    <w:p w14:paraId="26B9EB04" w14:textId="12C30F35" w:rsidR="00C2125F" w:rsidRPr="00961589" w:rsidRDefault="00DD2120" w:rsidP="00C2125F">
      <w:pPr>
        <w:pStyle w:val="a3"/>
        <w:spacing w:after="0"/>
        <w:ind w:left="0" w:firstLine="567"/>
        <w:jc w:val="both"/>
      </w:pPr>
      <w:r>
        <w:rPr>
          <w:b/>
          <w:bCs/>
          <w:i/>
          <w:iCs/>
        </w:rPr>
        <w:t>! З</w:t>
      </w:r>
      <w:r w:rsidR="00C2125F" w:rsidRPr="0004504B">
        <w:rPr>
          <w:b/>
          <w:bCs/>
          <w:i/>
          <w:iCs/>
        </w:rPr>
        <w:t>атвердження ІК та ТК та надання їх відповідному ЦНАП – це виключно обов’язок і повноваження суб’єкта надання адміністративної послуги</w:t>
      </w:r>
      <w:r w:rsidR="001B720A">
        <w:rPr>
          <w:b/>
          <w:bCs/>
          <w:i/>
          <w:iCs/>
        </w:rPr>
        <w:t xml:space="preserve"> (стосовно ОВВ)</w:t>
      </w:r>
      <w:r w:rsidR="00C2125F" w:rsidRPr="0004504B">
        <w:rPr>
          <w:b/>
          <w:bCs/>
          <w:i/>
          <w:iCs/>
        </w:rPr>
        <w:t>.</w:t>
      </w:r>
      <w:r w:rsidR="00C2125F" w:rsidRPr="005725F2">
        <w:rPr>
          <w:b/>
          <w:bCs/>
        </w:rPr>
        <w:t xml:space="preserve"> </w:t>
      </w:r>
      <w:r w:rsidR="00C2125F" w:rsidRPr="00961589">
        <w:t>Повторне</w:t>
      </w:r>
      <w:r w:rsidR="00C2125F">
        <w:t>/додаткове</w:t>
      </w:r>
      <w:r w:rsidR="00C2125F" w:rsidRPr="00961589">
        <w:t xml:space="preserve"> </w:t>
      </w:r>
      <w:r w:rsidR="00C2125F">
        <w:t>затвердження</w:t>
      </w:r>
      <w:r w:rsidR="00C2125F" w:rsidRPr="00961589">
        <w:t xml:space="preserve"> таких карток рішенням органу, що утворив ЦНАП, законом не передбачене. </w:t>
      </w:r>
    </w:p>
    <w:p w14:paraId="4579BA77" w14:textId="4C416650" w:rsidR="008353FF" w:rsidRDefault="008353FF" w:rsidP="00FC14FB">
      <w:pPr>
        <w:pStyle w:val="a3"/>
        <w:spacing w:after="0"/>
        <w:ind w:left="0" w:firstLine="567"/>
        <w:jc w:val="both"/>
      </w:pPr>
    </w:p>
    <w:p w14:paraId="6D8F4B6D" w14:textId="77777777" w:rsidR="00F0791E" w:rsidRDefault="00F0791E" w:rsidP="00F0791E">
      <w:pPr>
        <w:tabs>
          <w:tab w:val="left" w:pos="851"/>
        </w:tabs>
        <w:spacing w:after="0"/>
        <w:ind w:firstLine="567"/>
        <w:jc w:val="both"/>
        <w:rPr>
          <w:i/>
          <w:iCs/>
        </w:rPr>
      </w:pPr>
    </w:p>
    <w:p w14:paraId="4FF0ACC3" w14:textId="3A5BC487" w:rsidR="00F0791E" w:rsidRPr="00DC1691" w:rsidRDefault="00F0791E" w:rsidP="00F0791E">
      <w:pPr>
        <w:tabs>
          <w:tab w:val="left" w:pos="851"/>
        </w:tabs>
        <w:spacing w:after="0"/>
        <w:ind w:firstLine="567"/>
        <w:jc w:val="both"/>
        <w:rPr>
          <w:i/>
          <w:iCs/>
        </w:rPr>
      </w:pPr>
      <w:r w:rsidRPr="00DC1691">
        <w:rPr>
          <w:i/>
          <w:iCs/>
        </w:rPr>
        <w:t xml:space="preserve">Експерти напряму з покращення якості </w:t>
      </w:r>
    </w:p>
    <w:p w14:paraId="5F208CCE" w14:textId="77777777" w:rsidR="00F0791E" w:rsidRDefault="00F0791E" w:rsidP="00F0791E">
      <w:pPr>
        <w:tabs>
          <w:tab w:val="left" w:pos="851"/>
        </w:tabs>
        <w:spacing w:after="0"/>
        <w:ind w:firstLine="567"/>
        <w:jc w:val="both"/>
        <w:rPr>
          <w:i/>
          <w:iCs/>
        </w:rPr>
      </w:pPr>
      <w:r w:rsidRPr="00DC1691">
        <w:rPr>
          <w:i/>
          <w:iCs/>
        </w:rPr>
        <w:t xml:space="preserve">надання адміністративних послуг </w:t>
      </w:r>
      <w:r>
        <w:rPr>
          <w:i/>
          <w:iCs/>
        </w:rPr>
        <w:t>для населення</w:t>
      </w:r>
    </w:p>
    <w:p w14:paraId="7EC69E1D" w14:textId="77777777" w:rsidR="00F0791E" w:rsidRDefault="00F0791E" w:rsidP="00F0791E">
      <w:pPr>
        <w:tabs>
          <w:tab w:val="left" w:pos="851"/>
        </w:tabs>
        <w:spacing w:after="0"/>
        <w:ind w:firstLine="567"/>
        <w:jc w:val="both"/>
        <w:rPr>
          <w:i/>
          <w:iCs/>
        </w:rPr>
      </w:pPr>
      <w:r w:rsidRPr="00DC1691">
        <w:rPr>
          <w:i/>
          <w:iCs/>
        </w:rPr>
        <w:t xml:space="preserve">Програми </w:t>
      </w:r>
      <w:r>
        <w:rPr>
          <w:i/>
          <w:iCs/>
        </w:rPr>
        <w:t>«</w:t>
      </w:r>
      <w:r w:rsidRPr="00DC1691">
        <w:rPr>
          <w:i/>
          <w:iCs/>
        </w:rPr>
        <w:t>U-LEAD з Європою»</w:t>
      </w:r>
    </w:p>
    <w:p w14:paraId="5552DCED" w14:textId="77777777" w:rsidR="00F0791E" w:rsidRDefault="00F0791E" w:rsidP="00F0791E">
      <w:pPr>
        <w:pStyle w:val="a3"/>
        <w:spacing w:after="0"/>
        <w:ind w:left="0" w:firstLine="567"/>
      </w:pPr>
    </w:p>
    <w:p w14:paraId="6504ABF1" w14:textId="183E02BB" w:rsidR="001B720A" w:rsidRPr="00EB4162" w:rsidRDefault="008B76FF" w:rsidP="00F0791E">
      <w:pPr>
        <w:pStyle w:val="a3"/>
        <w:spacing w:after="0"/>
        <w:ind w:left="0" w:firstLine="567"/>
      </w:pPr>
      <w:r>
        <w:t>15</w:t>
      </w:r>
      <w:r w:rsidR="001B720A" w:rsidRPr="00C24047">
        <w:t>.03.2021</w:t>
      </w:r>
    </w:p>
    <w:sectPr w:rsidR="001B720A" w:rsidRPr="00EB4162" w:rsidSect="003C1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34FD6" w14:textId="77777777" w:rsidR="000770B0" w:rsidRDefault="000770B0" w:rsidP="00B326A2">
      <w:pPr>
        <w:spacing w:after="0" w:line="240" w:lineRule="auto"/>
      </w:pPr>
      <w:r>
        <w:separator/>
      </w:r>
    </w:p>
  </w:endnote>
  <w:endnote w:type="continuationSeparator" w:id="0">
    <w:p w14:paraId="4DB053D2" w14:textId="77777777" w:rsidR="000770B0" w:rsidRDefault="000770B0" w:rsidP="00B3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96B4" w14:textId="77777777" w:rsidR="000770B0" w:rsidRDefault="000770B0" w:rsidP="00B326A2">
      <w:pPr>
        <w:spacing w:after="0" w:line="240" w:lineRule="auto"/>
      </w:pPr>
      <w:r>
        <w:separator/>
      </w:r>
    </w:p>
  </w:footnote>
  <w:footnote w:type="continuationSeparator" w:id="0">
    <w:p w14:paraId="191B523A" w14:textId="77777777" w:rsidR="000770B0" w:rsidRDefault="000770B0" w:rsidP="00B3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5AA"/>
    <w:multiLevelType w:val="hybridMultilevel"/>
    <w:tmpl w:val="4B08CEC4"/>
    <w:lvl w:ilvl="0" w:tplc="AFF4D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E158F"/>
    <w:multiLevelType w:val="hybridMultilevel"/>
    <w:tmpl w:val="D7F426A8"/>
    <w:lvl w:ilvl="0" w:tplc="3B187452">
      <w:start w:val="4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F80D97"/>
    <w:multiLevelType w:val="hybridMultilevel"/>
    <w:tmpl w:val="0186EDDE"/>
    <w:lvl w:ilvl="0" w:tplc="FC444C92">
      <w:start w:val="2"/>
      <w:numFmt w:val="bullet"/>
      <w:lvlText w:val="-"/>
      <w:lvlJc w:val="left"/>
      <w:pPr>
        <w:ind w:left="1126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 w15:restartNumberingAfterBreak="0">
    <w:nsid w:val="6ADA0C65"/>
    <w:multiLevelType w:val="hybridMultilevel"/>
    <w:tmpl w:val="1EF4C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B60E8"/>
    <w:multiLevelType w:val="hybridMultilevel"/>
    <w:tmpl w:val="C5B09E74"/>
    <w:lvl w:ilvl="0" w:tplc="B932496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FF"/>
    <w:rsid w:val="00006FFE"/>
    <w:rsid w:val="0003078C"/>
    <w:rsid w:val="00032892"/>
    <w:rsid w:val="0004504B"/>
    <w:rsid w:val="0005281C"/>
    <w:rsid w:val="000670BC"/>
    <w:rsid w:val="000770B0"/>
    <w:rsid w:val="000B1256"/>
    <w:rsid w:val="000D32E9"/>
    <w:rsid w:val="000D4521"/>
    <w:rsid w:val="000D7263"/>
    <w:rsid w:val="00102AC6"/>
    <w:rsid w:val="00133CFC"/>
    <w:rsid w:val="001740DE"/>
    <w:rsid w:val="00183D3D"/>
    <w:rsid w:val="00197725"/>
    <w:rsid w:val="001A22B7"/>
    <w:rsid w:val="001A27EB"/>
    <w:rsid w:val="001A3A6C"/>
    <w:rsid w:val="001A4BFC"/>
    <w:rsid w:val="001B720A"/>
    <w:rsid w:val="001C5C09"/>
    <w:rsid w:val="001D7712"/>
    <w:rsid w:val="001E5DFD"/>
    <w:rsid w:val="001F1927"/>
    <w:rsid w:val="00224226"/>
    <w:rsid w:val="00224486"/>
    <w:rsid w:val="002266CC"/>
    <w:rsid w:val="002425BB"/>
    <w:rsid w:val="0026633F"/>
    <w:rsid w:val="002A056C"/>
    <w:rsid w:val="002B5940"/>
    <w:rsid w:val="002C70A2"/>
    <w:rsid w:val="002E70FB"/>
    <w:rsid w:val="00306E09"/>
    <w:rsid w:val="0032721D"/>
    <w:rsid w:val="00334BDD"/>
    <w:rsid w:val="00337E27"/>
    <w:rsid w:val="00342140"/>
    <w:rsid w:val="00343D48"/>
    <w:rsid w:val="0036079D"/>
    <w:rsid w:val="003727BA"/>
    <w:rsid w:val="00372C68"/>
    <w:rsid w:val="003C1250"/>
    <w:rsid w:val="003C50EB"/>
    <w:rsid w:val="00406A24"/>
    <w:rsid w:val="00412B49"/>
    <w:rsid w:val="004221B0"/>
    <w:rsid w:val="004327A7"/>
    <w:rsid w:val="004747C6"/>
    <w:rsid w:val="00492F02"/>
    <w:rsid w:val="004A245D"/>
    <w:rsid w:val="004B05E2"/>
    <w:rsid w:val="004C251C"/>
    <w:rsid w:val="004D5F2F"/>
    <w:rsid w:val="004E42E6"/>
    <w:rsid w:val="004E5608"/>
    <w:rsid w:val="00517F30"/>
    <w:rsid w:val="00523D8B"/>
    <w:rsid w:val="00530BA2"/>
    <w:rsid w:val="0054402C"/>
    <w:rsid w:val="005512CC"/>
    <w:rsid w:val="005725F2"/>
    <w:rsid w:val="005729F0"/>
    <w:rsid w:val="005A3D68"/>
    <w:rsid w:val="005B19C9"/>
    <w:rsid w:val="005E5242"/>
    <w:rsid w:val="005F7098"/>
    <w:rsid w:val="00602A23"/>
    <w:rsid w:val="0062485E"/>
    <w:rsid w:val="00632B44"/>
    <w:rsid w:val="00635367"/>
    <w:rsid w:val="006509CB"/>
    <w:rsid w:val="00672A57"/>
    <w:rsid w:val="00692B53"/>
    <w:rsid w:val="006931A5"/>
    <w:rsid w:val="00694F13"/>
    <w:rsid w:val="006A2584"/>
    <w:rsid w:val="006C0587"/>
    <w:rsid w:val="006C0598"/>
    <w:rsid w:val="006C59FF"/>
    <w:rsid w:val="006D28A3"/>
    <w:rsid w:val="006D6393"/>
    <w:rsid w:val="00703612"/>
    <w:rsid w:val="00726400"/>
    <w:rsid w:val="00754E91"/>
    <w:rsid w:val="00763C91"/>
    <w:rsid w:val="00776C20"/>
    <w:rsid w:val="00776C30"/>
    <w:rsid w:val="0078752E"/>
    <w:rsid w:val="00791363"/>
    <w:rsid w:val="007A37A2"/>
    <w:rsid w:val="007A778D"/>
    <w:rsid w:val="007B5A44"/>
    <w:rsid w:val="007C58D3"/>
    <w:rsid w:val="007D4135"/>
    <w:rsid w:val="007E6017"/>
    <w:rsid w:val="007F0B31"/>
    <w:rsid w:val="007F50CA"/>
    <w:rsid w:val="008353FF"/>
    <w:rsid w:val="0083576A"/>
    <w:rsid w:val="00846F0F"/>
    <w:rsid w:val="00877342"/>
    <w:rsid w:val="00882612"/>
    <w:rsid w:val="00894C68"/>
    <w:rsid w:val="00895CA8"/>
    <w:rsid w:val="008A310E"/>
    <w:rsid w:val="008B76FF"/>
    <w:rsid w:val="008B7C2B"/>
    <w:rsid w:val="008C781D"/>
    <w:rsid w:val="008D2BCC"/>
    <w:rsid w:val="008E4C9B"/>
    <w:rsid w:val="00923124"/>
    <w:rsid w:val="009363C9"/>
    <w:rsid w:val="009458AE"/>
    <w:rsid w:val="00945F04"/>
    <w:rsid w:val="009611A5"/>
    <w:rsid w:val="00961589"/>
    <w:rsid w:val="00963353"/>
    <w:rsid w:val="00965EDD"/>
    <w:rsid w:val="009871FC"/>
    <w:rsid w:val="0098797D"/>
    <w:rsid w:val="009928C4"/>
    <w:rsid w:val="009F7041"/>
    <w:rsid w:val="00A179A8"/>
    <w:rsid w:val="00A2107F"/>
    <w:rsid w:val="00A43C62"/>
    <w:rsid w:val="00A74CB2"/>
    <w:rsid w:val="00A919A8"/>
    <w:rsid w:val="00A97F06"/>
    <w:rsid w:val="00AB4602"/>
    <w:rsid w:val="00AC60A0"/>
    <w:rsid w:val="00AD241E"/>
    <w:rsid w:val="00AE6B3C"/>
    <w:rsid w:val="00B13EDA"/>
    <w:rsid w:val="00B326A2"/>
    <w:rsid w:val="00B36E98"/>
    <w:rsid w:val="00B37F2C"/>
    <w:rsid w:val="00B52FA2"/>
    <w:rsid w:val="00B768FF"/>
    <w:rsid w:val="00BB1F35"/>
    <w:rsid w:val="00BC00CC"/>
    <w:rsid w:val="00BC3E73"/>
    <w:rsid w:val="00BC532B"/>
    <w:rsid w:val="00BD3960"/>
    <w:rsid w:val="00BF11D5"/>
    <w:rsid w:val="00BF402D"/>
    <w:rsid w:val="00C004CB"/>
    <w:rsid w:val="00C031A9"/>
    <w:rsid w:val="00C047B1"/>
    <w:rsid w:val="00C049BA"/>
    <w:rsid w:val="00C15098"/>
    <w:rsid w:val="00C2125F"/>
    <w:rsid w:val="00C24047"/>
    <w:rsid w:val="00C362FC"/>
    <w:rsid w:val="00C363A4"/>
    <w:rsid w:val="00C836C9"/>
    <w:rsid w:val="00C95E38"/>
    <w:rsid w:val="00CA1897"/>
    <w:rsid w:val="00CA725E"/>
    <w:rsid w:val="00CB3E43"/>
    <w:rsid w:val="00CC3EEE"/>
    <w:rsid w:val="00CE24FE"/>
    <w:rsid w:val="00CF1828"/>
    <w:rsid w:val="00D2454A"/>
    <w:rsid w:val="00D36693"/>
    <w:rsid w:val="00D52B9B"/>
    <w:rsid w:val="00D56056"/>
    <w:rsid w:val="00D61668"/>
    <w:rsid w:val="00D65216"/>
    <w:rsid w:val="00D90B43"/>
    <w:rsid w:val="00D92437"/>
    <w:rsid w:val="00DC3CE2"/>
    <w:rsid w:val="00DD2120"/>
    <w:rsid w:val="00DD63D9"/>
    <w:rsid w:val="00DE371E"/>
    <w:rsid w:val="00DE726C"/>
    <w:rsid w:val="00DF0B23"/>
    <w:rsid w:val="00E345A3"/>
    <w:rsid w:val="00E559AC"/>
    <w:rsid w:val="00E732C6"/>
    <w:rsid w:val="00E74D52"/>
    <w:rsid w:val="00E76ED9"/>
    <w:rsid w:val="00E94603"/>
    <w:rsid w:val="00EA6E76"/>
    <w:rsid w:val="00EB3C9B"/>
    <w:rsid w:val="00EB4162"/>
    <w:rsid w:val="00EB60DB"/>
    <w:rsid w:val="00EC1D3F"/>
    <w:rsid w:val="00EC1EE0"/>
    <w:rsid w:val="00F01325"/>
    <w:rsid w:val="00F06A4D"/>
    <w:rsid w:val="00F0791E"/>
    <w:rsid w:val="00F1451A"/>
    <w:rsid w:val="00F164CB"/>
    <w:rsid w:val="00F22E51"/>
    <w:rsid w:val="00F3423C"/>
    <w:rsid w:val="00F51ED3"/>
    <w:rsid w:val="00F5639B"/>
    <w:rsid w:val="00F631CA"/>
    <w:rsid w:val="00F7608A"/>
    <w:rsid w:val="00F9003C"/>
    <w:rsid w:val="00F91B0E"/>
    <w:rsid w:val="00FA0B7E"/>
    <w:rsid w:val="00FC14FB"/>
    <w:rsid w:val="00FC411B"/>
    <w:rsid w:val="00FE6A73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8C26"/>
  <w15:docId w15:val="{E99C05BA-36CB-4E98-878D-BD58A30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250"/>
  </w:style>
  <w:style w:type="paragraph" w:styleId="1">
    <w:name w:val="heading 1"/>
    <w:basedOn w:val="a"/>
    <w:next w:val="a"/>
    <w:link w:val="10"/>
    <w:qFormat/>
    <w:rsid w:val="00A97F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FF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3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иноски Знак"/>
    <w:basedOn w:val="a0"/>
    <w:link w:val="a4"/>
    <w:uiPriority w:val="99"/>
    <w:rsid w:val="00B326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rsid w:val="00B326A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97F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uk-UA"/>
    </w:rPr>
  </w:style>
  <w:style w:type="character" w:styleId="a7">
    <w:name w:val="Hyperlink"/>
    <w:basedOn w:val="a0"/>
    <w:uiPriority w:val="99"/>
    <w:unhideWhenUsed/>
    <w:rsid w:val="00A97F06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A97F0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97F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A97F06"/>
  </w:style>
  <w:style w:type="character" w:customStyle="1" w:styleId="rvts46">
    <w:name w:val="rvts46"/>
    <w:rsid w:val="00A97F06"/>
  </w:style>
  <w:style w:type="character" w:styleId="a8">
    <w:name w:val="annotation reference"/>
    <w:basedOn w:val="a0"/>
    <w:uiPriority w:val="99"/>
    <w:semiHidden/>
    <w:unhideWhenUsed/>
    <w:rsid w:val="002B59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940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B59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94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B594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2B594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B5940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97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nap.ulead.org.ua/wp-content/uploads/2018/11/A4_TSNAP_for-web_cover_bloc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10294</Words>
  <Characters>5869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Макаренко</dc:creator>
  <cp:keywords/>
  <dc:description/>
  <cp:lastModifiedBy>Петро Макаренко</cp:lastModifiedBy>
  <cp:revision>4</cp:revision>
  <dcterms:created xsi:type="dcterms:W3CDTF">2021-03-15T09:45:00Z</dcterms:created>
  <dcterms:modified xsi:type="dcterms:W3CDTF">2021-03-15T14:08:00Z</dcterms:modified>
</cp:coreProperties>
</file>